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D0EDA" w:rsidRPr="001B2D52" w:rsidP="006D0EDA">
      <w:pPr>
        <w:autoSpaceDE/>
        <w:autoSpaceDN/>
        <w:adjustRightInd/>
        <w:spacing w:after="0"/>
        <w:jc w:val="left"/>
        <w:rPr>
          <w:rFonts w:cs="Arial"/>
          <w:highlight w:val="yellow"/>
        </w:rPr>
        <w:sectPr w:rsidSect="006D0EDA">
          <w:headerReference w:type="default" r:id="rId5"/>
          <w:footerReference w:type="default" r:id="rId6"/>
          <w:headerReference w:type="first" r:id="rId7"/>
          <w:pgSz w:w="11900" w:h="16840" w:code="9"/>
          <w:pgMar w:top="1361" w:right="1361" w:bottom="1361" w:left="1361" w:header="709" w:footer="709" w:gutter="0"/>
          <w:cols w:space="292"/>
          <w:titlePg/>
          <w:docGrid w:linePitch="326"/>
        </w:sectPr>
      </w:pPr>
      <w:r w:rsidRPr="001B2D52">
        <w:rPr>
          <w:rFonts w:cs="Arial"/>
          <w:noProof/>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640195" cy="2476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662D1" w:rsidP="006D0EDA">
                            <w:pPr>
                              <w:spacing w:after="0"/>
                              <w:ind w:right="-46"/>
                              <w:jc w:val="left"/>
                              <w:rPr>
                                <w:rFonts w:cs="Arial"/>
                                <w:b/>
                                <w:bCs/>
                                <w:sz w:val="52"/>
                                <w:szCs w:val="52"/>
                              </w:rPr>
                            </w:pPr>
                          </w:p>
                          <w:p w:rsidR="005662D1" w:rsidP="006D0EDA">
                            <w:pPr>
                              <w:spacing w:after="0"/>
                              <w:ind w:right="-46"/>
                              <w:jc w:val="left"/>
                              <w:rPr>
                                <w:rFonts w:cs="Arial"/>
                                <w:b/>
                                <w:bCs/>
                                <w:sz w:val="52"/>
                                <w:szCs w:val="52"/>
                              </w:rPr>
                            </w:pPr>
                            <w:r>
                              <w:rPr>
                                <w:rFonts w:cs="Arial"/>
                                <w:b/>
                                <w:bCs/>
                                <w:sz w:val="52"/>
                                <w:szCs w:val="52"/>
                              </w:rPr>
                              <w:t>Money Matters</w:t>
                            </w:r>
                          </w:p>
                          <w:p w:rsidR="005662D1" w:rsidP="006D0EDA">
                            <w:pPr>
                              <w:spacing w:after="0"/>
                              <w:ind w:right="-46"/>
                              <w:jc w:val="left"/>
                              <w:rPr>
                                <w:rFonts w:cs="Arial"/>
                                <w:b/>
                                <w:bCs/>
                                <w:sz w:val="52"/>
                                <w:szCs w:val="52"/>
                              </w:rPr>
                            </w:pPr>
                            <w:r>
                              <w:rPr>
                                <w:rFonts w:cs="Arial"/>
                                <w:b/>
                                <w:bCs/>
                                <w:sz w:val="52"/>
                                <w:szCs w:val="52"/>
                              </w:rPr>
                              <w:t>Financial Outlook for the County Council</w:t>
                            </w:r>
                          </w:p>
                          <w:p w:rsidR="005662D1" w:rsidP="006D0EDA">
                            <w:pPr>
                              <w:spacing w:after="0"/>
                              <w:ind w:right="-46"/>
                              <w:jc w:val="left"/>
                              <w:rPr>
                                <w:rFonts w:cs="Arial"/>
                                <w:b/>
                                <w:bCs/>
                                <w:sz w:val="52"/>
                                <w:szCs w:val="52"/>
                              </w:rPr>
                            </w:pPr>
                            <w:r>
                              <w:rPr>
                                <w:rFonts w:cs="Arial"/>
                                <w:b/>
                                <w:bCs/>
                                <w:sz w:val="52"/>
                                <w:szCs w:val="52"/>
                              </w:rPr>
                              <w:t>Medium Term Financial Strategy &amp; Reserves as at 30</w:t>
                            </w:r>
                            <w:r w:rsidRPr="00330DF4">
                              <w:rPr>
                                <w:rFonts w:cs="Arial"/>
                                <w:b/>
                                <w:bCs/>
                                <w:sz w:val="52"/>
                                <w:szCs w:val="52"/>
                                <w:vertAlign w:val="superscript"/>
                              </w:rPr>
                              <w:t>th</w:t>
                            </w:r>
                            <w:r>
                              <w:rPr>
                                <w:rFonts w:cs="Arial"/>
                                <w:b/>
                                <w:bCs/>
                                <w:sz w:val="52"/>
                                <w:szCs w:val="52"/>
                              </w:rPr>
                              <w:t xml:space="preserve"> September 2020</w:t>
                            </w:r>
                          </w:p>
                          <w:p w:rsidR="005662D1" w:rsidRPr="0037393E" w:rsidP="006D0EDA">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195pt;margin-top:462.2pt;margin-left:-26.8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5662D1" w:rsidP="006D0EDA">
                      <w:pPr>
                        <w:spacing w:after="0"/>
                        <w:ind w:right="-46"/>
                        <w:jc w:val="left"/>
                        <w:rPr>
                          <w:rFonts w:cs="Arial"/>
                          <w:b/>
                          <w:bCs/>
                          <w:sz w:val="52"/>
                          <w:szCs w:val="52"/>
                        </w:rPr>
                      </w:pPr>
                    </w:p>
                    <w:p w:rsidR="005662D1" w:rsidP="006D0EDA">
                      <w:pPr>
                        <w:spacing w:after="0"/>
                        <w:ind w:right="-46"/>
                        <w:jc w:val="left"/>
                        <w:rPr>
                          <w:rFonts w:cs="Arial"/>
                          <w:b/>
                          <w:bCs/>
                          <w:sz w:val="52"/>
                          <w:szCs w:val="52"/>
                        </w:rPr>
                      </w:pPr>
                      <w:r>
                        <w:rPr>
                          <w:rFonts w:cs="Arial"/>
                          <w:b/>
                          <w:bCs/>
                          <w:sz w:val="52"/>
                          <w:szCs w:val="52"/>
                        </w:rPr>
                        <w:t>Money Matters</w:t>
                      </w:r>
                    </w:p>
                    <w:p w:rsidR="005662D1" w:rsidP="006D0EDA">
                      <w:pPr>
                        <w:spacing w:after="0"/>
                        <w:ind w:right="-46"/>
                        <w:jc w:val="left"/>
                        <w:rPr>
                          <w:rFonts w:cs="Arial"/>
                          <w:b/>
                          <w:bCs/>
                          <w:sz w:val="52"/>
                          <w:szCs w:val="52"/>
                        </w:rPr>
                      </w:pPr>
                      <w:r>
                        <w:rPr>
                          <w:rFonts w:cs="Arial"/>
                          <w:b/>
                          <w:bCs/>
                          <w:sz w:val="52"/>
                          <w:szCs w:val="52"/>
                        </w:rPr>
                        <w:t>Financial Outlook for the County Council</w:t>
                      </w:r>
                    </w:p>
                    <w:p w:rsidR="005662D1" w:rsidP="006D0EDA">
                      <w:pPr>
                        <w:spacing w:after="0"/>
                        <w:ind w:right="-46"/>
                        <w:jc w:val="left"/>
                        <w:rPr>
                          <w:rFonts w:cs="Arial"/>
                          <w:b/>
                          <w:bCs/>
                          <w:sz w:val="52"/>
                          <w:szCs w:val="52"/>
                        </w:rPr>
                      </w:pPr>
                      <w:r>
                        <w:rPr>
                          <w:rFonts w:cs="Arial"/>
                          <w:b/>
                          <w:bCs/>
                          <w:sz w:val="52"/>
                          <w:szCs w:val="52"/>
                        </w:rPr>
                        <w:t>Medium Term Financial Strategy &amp; Reserves as at 30</w:t>
                      </w:r>
                      <w:r w:rsidRPr="00330DF4">
                        <w:rPr>
                          <w:rFonts w:cs="Arial"/>
                          <w:b/>
                          <w:bCs/>
                          <w:sz w:val="52"/>
                          <w:szCs w:val="52"/>
                          <w:vertAlign w:val="superscript"/>
                        </w:rPr>
                        <w:t>th</w:t>
                      </w:r>
                      <w:r>
                        <w:rPr>
                          <w:rFonts w:cs="Arial"/>
                          <w:b/>
                          <w:bCs/>
                          <w:sz w:val="52"/>
                          <w:szCs w:val="52"/>
                        </w:rPr>
                        <w:t xml:space="preserve"> September 2020</w:t>
                      </w:r>
                    </w:p>
                    <w:p w:rsidR="005662D1" w:rsidRPr="0037393E" w:rsidP="006D0EDA">
                      <w:pPr>
                        <w:spacing w:after="0"/>
                        <w:ind w:right="-46"/>
                        <w:jc w:val="left"/>
                        <w:rPr>
                          <w:rFonts w:cs="Arial"/>
                          <w:b/>
                          <w:bCs/>
                          <w:sz w:val="52"/>
                          <w:szCs w:val="52"/>
                        </w:rPr>
                      </w:pPr>
                    </w:p>
                  </w:txbxContent>
                </v:textbox>
              </v:shape>
            </w:pict>
          </mc:Fallback>
        </mc:AlternateContent>
      </w:r>
    </w:p>
    <w:tbl>
      <w:tblPr>
        <w:tblStyle w:val="TableGrid11"/>
        <w:tblW w:w="0" w:type="auto"/>
        <w:tblLook w:val="04A0"/>
      </w:tblPr>
      <w:tblGrid>
        <w:gridCol w:w="562"/>
        <w:gridCol w:w="5437"/>
        <w:gridCol w:w="3017"/>
      </w:tblGrid>
      <w:tr w:rsidTr="006D0EDA">
        <w:tblPrEx>
          <w:tblW w:w="0" w:type="auto"/>
          <w:tblLook w:val="04A0"/>
        </w:tblPrEx>
        <w:trPr>
          <w:trHeight w:val="699"/>
        </w:trPr>
        <w:tc>
          <w:tcPr>
            <w:tcW w:w="562" w:type="dxa"/>
            <w:vAlign w:val="center"/>
          </w:tcPr>
          <w:p w:rsidR="006D0EDA" w:rsidRPr="003112C7" w:rsidP="006D0EDA">
            <w:pPr>
              <w:spacing w:after="0"/>
              <w:ind w:right="-46"/>
              <w:jc w:val="center"/>
              <w:rPr>
                <w:rFonts w:cs="Arial"/>
                <w:b/>
                <w:bCs/>
              </w:rPr>
            </w:pPr>
          </w:p>
        </w:tc>
        <w:tc>
          <w:tcPr>
            <w:tcW w:w="5437" w:type="dxa"/>
            <w:vAlign w:val="center"/>
          </w:tcPr>
          <w:p w:rsidR="006D0EDA" w:rsidRPr="003112C7" w:rsidP="006D0EDA">
            <w:pPr>
              <w:spacing w:after="0"/>
              <w:ind w:right="-46"/>
              <w:jc w:val="center"/>
              <w:rPr>
                <w:rFonts w:cs="Arial"/>
                <w:b/>
                <w:bCs/>
              </w:rPr>
            </w:pPr>
            <w:r w:rsidRPr="003112C7">
              <w:rPr>
                <w:rFonts w:cs="Arial"/>
                <w:b/>
                <w:bCs/>
              </w:rPr>
              <w:t>Contents</w:t>
            </w:r>
          </w:p>
        </w:tc>
        <w:tc>
          <w:tcPr>
            <w:tcW w:w="3017" w:type="dxa"/>
            <w:shd w:val="clear" w:color="auto" w:fill="auto"/>
            <w:vAlign w:val="center"/>
          </w:tcPr>
          <w:p w:rsidR="006D0EDA" w:rsidRPr="003112C7" w:rsidP="006D0EDA">
            <w:pPr>
              <w:spacing w:after="0"/>
              <w:ind w:right="-46"/>
              <w:jc w:val="center"/>
              <w:rPr>
                <w:rFonts w:cs="Arial"/>
                <w:b/>
                <w:bCs/>
              </w:rPr>
            </w:pPr>
            <w:r w:rsidRPr="003112C7">
              <w:rPr>
                <w:rFonts w:cs="Arial"/>
                <w:b/>
                <w:bCs/>
              </w:rPr>
              <w:t>Page</w:t>
            </w:r>
          </w:p>
        </w:tc>
      </w:tr>
      <w:tr w:rsidTr="006D0EDA">
        <w:tblPrEx>
          <w:tblW w:w="0" w:type="auto"/>
          <w:tblLook w:val="04A0"/>
        </w:tblPrEx>
        <w:tc>
          <w:tcPr>
            <w:tcW w:w="562" w:type="dxa"/>
            <w:vAlign w:val="center"/>
          </w:tcPr>
          <w:p w:rsidR="006D0EDA" w:rsidRPr="003112C7" w:rsidP="006D0EDA">
            <w:pPr>
              <w:spacing w:after="0"/>
              <w:ind w:right="-46"/>
              <w:jc w:val="center"/>
              <w:rPr>
                <w:rFonts w:cs="Arial"/>
                <w:b/>
                <w:bCs/>
              </w:rPr>
            </w:pPr>
            <w:r w:rsidRPr="003112C7">
              <w:rPr>
                <w:rFonts w:cs="Arial"/>
                <w:b/>
                <w:bCs/>
              </w:rPr>
              <w:t>1</w:t>
            </w:r>
          </w:p>
        </w:tc>
        <w:tc>
          <w:tcPr>
            <w:tcW w:w="5437" w:type="dxa"/>
            <w:vAlign w:val="center"/>
          </w:tcPr>
          <w:p w:rsidR="006D0EDA" w:rsidRPr="003112C7" w:rsidP="006D0EDA">
            <w:pPr>
              <w:spacing w:after="0"/>
              <w:ind w:right="-46"/>
              <w:rPr>
                <w:rFonts w:cs="Arial"/>
                <w:b/>
                <w:bCs/>
              </w:rPr>
            </w:pPr>
          </w:p>
          <w:p w:rsidR="006D0EDA" w:rsidRPr="003112C7" w:rsidP="006D0EDA">
            <w:pPr>
              <w:spacing w:after="0"/>
              <w:ind w:right="-46"/>
              <w:rPr>
                <w:rFonts w:cs="Arial"/>
                <w:b/>
                <w:bCs/>
              </w:rPr>
            </w:pPr>
            <w:r w:rsidRPr="003112C7">
              <w:rPr>
                <w:rFonts w:cs="Arial"/>
                <w:b/>
                <w:bCs/>
              </w:rPr>
              <w:t>Executive Summary</w:t>
            </w:r>
          </w:p>
          <w:p w:rsidR="006D0EDA" w:rsidRPr="003112C7" w:rsidP="006D0EDA">
            <w:pPr>
              <w:spacing w:after="0"/>
              <w:ind w:right="-46"/>
              <w:rPr>
                <w:rFonts w:cs="Arial"/>
                <w:b/>
                <w:bCs/>
              </w:rPr>
            </w:pPr>
          </w:p>
        </w:tc>
        <w:tc>
          <w:tcPr>
            <w:tcW w:w="3017" w:type="dxa"/>
            <w:vAlign w:val="center"/>
          </w:tcPr>
          <w:p w:rsidR="006D0EDA" w:rsidRPr="003112C7" w:rsidP="006D0EDA">
            <w:pPr>
              <w:spacing w:after="0"/>
              <w:ind w:right="-46"/>
              <w:jc w:val="center"/>
              <w:rPr>
                <w:rFonts w:cs="Arial"/>
                <w:b/>
                <w:bCs/>
              </w:rPr>
            </w:pPr>
            <w:r>
              <w:rPr>
                <w:rFonts w:cs="Arial"/>
                <w:b/>
                <w:bCs/>
              </w:rPr>
              <w:t>3</w:t>
            </w:r>
          </w:p>
        </w:tc>
      </w:tr>
      <w:tr w:rsidTr="006D0EDA">
        <w:tblPrEx>
          <w:tblW w:w="0" w:type="auto"/>
          <w:tblLook w:val="04A0"/>
        </w:tblPrEx>
        <w:tc>
          <w:tcPr>
            <w:tcW w:w="562" w:type="dxa"/>
            <w:vAlign w:val="center"/>
          </w:tcPr>
          <w:p w:rsidR="006D0EDA" w:rsidRPr="003112C7" w:rsidP="006D0EDA">
            <w:pPr>
              <w:spacing w:after="0"/>
              <w:ind w:right="-46"/>
              <w:jc w:val="center"/>
              <w:rPr>
                <w:rFonts w:cs="Arial"/>
                <w:b/>
                <w:bCs/>
              </w:rPr>
            </w:pPr>
            <w:r w:rsidRPr="003112C7">
              <w:rPr>
                <w:rFonts w:cs="Arial"/>
                <w:b/>
                <w:bCs/>
              </w:rPr>
              <w:t>2</w:t>
            </w:r>
          </w:p>
        </w:tc>
        <w:tc>
          <w:tcPr>
            <w:tcW w:w="5437" w:type="dxa"/>
            <w:vAlign w:val="center"/>
          </w:tcPr>
          <w:p w:rsidR="006D0EDA" w:rsidRPr="003112C7" w:rsidP="006D0EDA">
            <w:pPr>
              <w:spacing w:after="0"/>
              <w:ind w:right="-46"/>
              <w:rPr>
                <w:rFonts w:cs="Arial"/>
                <w:b/>
                <w:bCs/>
              </w:rPr>
            </w:pPr>
          </w:p>
          <w:p w:rsidR="006D0EDA" w:rsidRPr="003112C7" w:rsidP="006D0EDA">
            <w:pPr>
              <w:spacing w:after="0"/>
              <w:ind w:right="-46"/>
              <w:rPr>
                <w:rFonts w:cs="Arial"/>
                <w:b/>
                <w:bCs/>
              </w:rPr>
            </w:pPr>
            <w:r w:rsidRPr="003112C7">
              <w:rPr>
                <w:rFonts w:cs="Arial"/>
                <w:b/>
                <w:bCs/>
              </w:rPr>
              <w:t>Funding</w:t>
            </w:r>
          </w:p>
          <w:p w:rsidR="006D0EDA" w:rsidRPr="003112C7" w:rsidP="006D0EDA">
            <w:pPr>
              <w:spacing w:after="0"/>
              <w:ind w:right="-46"/>
              <w:rPr>
                <w:rFonts w:cs="Arial"/>
                <w:b/>
                <w:bCs/>
              </w:rPr>
            </w:pPr>
          </w:p>
        </w:tc>
        <w:tc>
          <w:tcPr>
            <w:tcW w:w="3017" w:type="dxa"/>
            <w:vAlign w:val="center"/>
          </w:tcPr>
          <w:p w:rsidR="006D0EDA" w:rsidRPr="003112C7" w:rsidP="006D0EDA">
            <w:pPr>
              <w:spacing w:after="0"/>
              <w:ind w:right="-46"/>
              <w:jc w:val="center"/>
              <w:rPr>
                <w:rFonts w:cs="Arial"/>
                <w:b/>
                <w:bCs/>
              </w:rPr>
            </w:pPr>
            <w:r>
              <w:rPr>
                <w:rFonts w:cs="Arial"/>
                <w:b/>
                <w:bCs/>
              </w:rPr>
              <w:t>7</w:t>
            </w:r>
          </w:p>
        </w:tc>
      </w:tr>
      <w:tr w:rsidTr="006D0EDA">
        <w:tblPrEx>
          <w:tblW w:w="0" w:type="auto"/>
          <w:tblLook w:val="04A0"/>
        </w:tblPrEx>
        <w:tc>
          <w:tcPr>
            <w:tcW w:w="562" w:type="dxa"/>
            <w:vAlign w:val="center"/>
          </w:tcPr>
          <w:p w:rsidR="006D0EDA" w:rsidRPr="003112C7" w:rsidP="006D0EDA">
            <w:pPr>
              <w:spacing w:after="0"/>
              <w:ind w:right="-46"/>
              <w:jc w:val="center"/>
              <w:rPr>
                <w:rFonts w:cs="Arial"/>
                <w:b/>
                <w:bCs/>
              </w:rPr>
            </w:pPr>
            <w:r w:rsidRPr="003112C7">
              <w:rPr>
                <w:rFonts w:cs="Arial"/>
                <w:b/>
                <w:bCs/>
              </w:rPr>
              <w:t>3</w:t>
            </w:r>
          </w:p>
        </w:tc>
        <w:tc>
          <w:tcPr>
            <w:tcW w:w="5437" w:type="dxa"/>
            <w:vAlign w:val="center"/>
          </w:tcPr>
          <w:p w:rsidR="006D0EDA" w:rsidRPr="003112C7" w:rsidP="006D0EDA">
            <w:pPr>
              <w:spacing w:after="0"/>
              <w:ind w:right="-46"/>
              <w:rPr>
                <w:rFonts w:cs="Arial"/>
                <w:b/>
                <w:bCs/>
              </w:rPr>
            </w:pPr>
          </w:p>
          <w:p w:rsidR="006D0EDA" w:rsidRPr="003112C7" w:rsidP="006D0EDA">
            <w:pPr>
              <w:spacing w:after="0"/>
              <w:ind w:right="-46"/>
              <w:rPr>
                <w:rFonts w:cs="Arial"/>
                <w:b/>
                <w:bCs/>
              </w:rPr>
            </w:pPr>
            <w:r w:rsidRPr="003112C7">
              <w:rPr>
                <w:rFonts w:cs="Arial"/>
                <w:b/>
                <w:bCs/>
              </w:rPr>
              <w:t xml:space="preserve">Net Budget Requirement </w:t>
            </w:r>
          </w:p>
          <w:p w:rsidR="006D0EDA" w:rsidRPr="003112C7" w:rsidP="006D0EDA">
            <w:pPr>
              <w:spacing w:after="0"/>
              <w:ind w:right="-46"/>
              <w:rPr>
                <w:rFonts w:cs="Arial"/>
                <w:b/>
                <w:bCs/>
              </w:rPr>
            </w:pPr>
          </w:p>
        </w:tc>
        <w:tc>
          <w:tcPr>
            <w:tcW w:w="3017" w:type="dxa"/>
            <w:vAlign w:val="center"/>
          </w:tcPr>
          <w:p w:rsidR="006D0EDA" w:rsidRPr="003112C7" w:rsidP="006D0EDA">
            <w:pPr>
              <w:spacing w:after="0"/>
              <w:ind w:right="-46"/>
              <w:jc w:val="center"/>
              <w:rPr>
                <w:rFonts w:cs="Arial"/>
                <w:b/>
                <w:bCs/>
              </w:rPr>
            </w:pPr>
            <w:r>
              <w:rPr>
                <w:rFonts w:cs="Arial"/>
                <w:b/>
                <w:bCs/>
              </w:rPr>
              <w:t>10</w:t>
            </w:r>
          </w:p>
        </w:tc>
      </w:tr>
      <w:tr w:rsidTr="006D0EDA">
        <w:tblPrEx>
          <w:tblW w:w="0" w:type="auto"/>
          <w:tblLook w:val="04A0"/>
        </w:tblPrEx>
        <w:tc>
          <w:tcPr>
            <w:tcW w:w="562" w:type="dxa"/>
            <w:vAlign w:val="center"/>
          </w:tcPr>
          <w:p w:rsidR="006D0EDA" w:rsidRPr="003112C7" w:rsidP="006D0EDA">
            <w:pPr>
              <w:spacing w:after="0"/>
              <w:ind w:right="-46"/>
              <w:jc w:val="center"/>
              <w:rPr>
                <w:rFonts w:cs="Arial"/>
                <w:b/>
                <w:bCs/>
              </w:rPr>
            </w:pPr>
            <w:r w:rsidRPr="003112C7">
              <w:rPr>
                <w:rFonts w:cs="Arial"/>
                <w:b/>
                <w:bCs/>
              </w:rPr>
              <w:t>4</w:t>
            </w:r>
          </w:p>
        </w:tc>
        <w:tc>
          <w:tcPr>
            <w:tcW w:w="5437" w:type="dxa"/>
            <w:vAlign w:val="center"/>
          </w:tcPr>
          <w:p w:rsidR="006D0EDA" w:rsidRPr="003112C7" w:rsidP="006D0EDA">
            <w:pPr>
              <w:spacing w:after="0"/>
              <w:ind w:right="-46"/>
              <w:rPr>
                <w:rFonts w:cs="Arial"/>
                <w:b/>
                <w:bCs/>
              </w:rPr>
            </w:pPr>
          </w:p>
          <w:p w:rsidR="006D0EDA" w:rsidRPr="003112C7" w:rsidP="006D0EDA">
            <w:pPr>
              <w:spacing w:after="0"/>
              <w:ind w:right="-46"/>
              <w:rPr>
                <w:rFonts w:cs="Arial"/>
                <w:b/>
                <w:bCs/>
              </w:rPr>
            </w:pPr>
            <w:r w:rsidRPr="003112C7">
              <w:rPr>
                <w:rFonts w:cs="Arial"/>
                <w:b/>
                <w:bCs/>
              </w:rPr>
              <w:t>Reserves</w:t>
            </w:r>
          </w:p>
          <w:p w:rsidR="006D0EDA" w:rsidRPr="003112C7" w:rsidP="006D0EDA">
            <w:pPr>
              <w:spacing w:after="0"/>
              <w:ind w:right="-46"/>
              <w:rPr>
                <w:rFonts w:cs="Arial"/>
                <w:b/>
                <w:bCs/>
              </w:rPr>
            </w:pPr>
          </w:p>
        </w:tc>
        <w:tc>
          <w:tcPr>
            <w:tcW w:w="3017" w:type="dxa"/>
            <w:vAlign w:val="center"/>
          </w:tcPr>
          <w:p w:rsidR="006D0EDA" w:rsidRPr="003112C7" w:rsidP="006D0EDA">
            <w:pPr>
              <w:spacing w:after="0"/>
              <w:ind w:right="-46"/>
              <w:jc w:val="center"/>
              <w:rPr>
                <w:rFonts w:cs="Arial"/>
                <w:b/>
                <w:bCs/>
              </w:rPr>
            </w:pPr>
            <w:r>
              <w:rPr>
                <w:rFonts w:cs="Arial"/>
                <w:b/>
                <w:bCs/>
              </w:rPr>
              <w:t>13</w:t>
            </w:r>
          </w:p>
        </w:tc>
      </w:tr>
      <w:tr w:rsidTr="006D0EDA">
        <w:tblPrEx>
          <w:tblW w:w="0" w:type="auto"/>
          <w:tblLook w:val="04A0"/>
        </w:tblPrEx>
        <w:tc>
          <w:tcPr>
            <w:tcW w:w="562" w:type="dxa"/>
            <w:vAlign w:val="center"/>
          </w:tcPr>
          <w:p w:rsidR="006D0EDA" w:rsidRPr="003112C7" w:rsidP="006D0EDA">
            <w:pPr>
              <w:spacing w:after="0"/>
              <w:ind w:right="-46"/>
              <w:jc w:val="center"/>
              <w:rPr>
                <w:rFonts w:cs="Arial"/>
                <w:b/>
                <w:bCs/>
              </w:rPr>
            </w:pPr>
          </w:p>
          <w:p w:rsidR="006D0EDA" w:rsidRPr="003112C7" w:rsidP="006D0EDA">
            <w:pPr>
              <w:spacing w:after="0"/>
              <w:ind w:right="-46"/>
              <w:jc w:val="center"/>
              <w:rPr>
                <w:rFonts w:cs="Arial"/>
                <w:b/>
                <w:bCs/>
              </w:rPr>
            </w:pPr>
            <w:r w:rsidRPr="003112C7">
              <w:rPr>
                <w:rFonts w:cs="Arial"/>
                <w:b/>
                <w:bCs/>
              </w:rPr>
              <w:t>5</w:t>
            </w:r>
          </w:p>
          <w:p w:rsidR="006D0EDA" w:rsidRPr="003112C7" w:rsidP="006D0EDA">
            <w:pPr>
              <w:spacing w:after="0"/>
              <w:ind w:right="-46"/>
              <w:jc w:val="center"/>
              <w:rPr>
                <w:rFonts w:cs="Arial"/>
                <w:b/>
                <w:bCs/>
              </w:rPr>
            </w:pPr>
          </w:p>
        </w:tc>
        <w:tc>
          <w:tcPr>
            <w:tcW w:w="5437" w:type="dxa"/>
            <w:vAlign w:val="center"/>
          </w:tcPr>
          <w:p w:rsidR="006D0EDA" w:rsidRPr="003112C7" w:rsidP="006D0EDA">
            <w:pPr>
              <w:spacing w:after="0"/>
              <w:ind w:right="-46"/>
              <w:rPr>
                <w:rFonts w:cs="Arial"/>
                <w:b/>
                <w:bCs/>
              </w:rPr>
            </w:pPr>
            <w:r w:rsidRPr="003112C7">
              <w:rPr>
                <w:rFonts w:cs="Arial"/>
                <w:b/>
                <w:bCs/>
              </w:rPr>
              <w:t>Future Risks and Opportunities</w:t>
            </w:r>
          </w:p>
        </w:tc>
        <w:tc>
          <w:tcPr>
            <w:tcW w:w="3017" w:type="dxa"/>
            <w:vAlign w:val="center"/>
          </w:tcPr>
          <w:p w:rsidR="006D0EDA" w:rsidRPr="003112C7" w:rsidP="006D0EDA">
            <w:pPr>
              <w:spacing w:after="0"/>
              <w:ind w:right="-46"/>
              <w:jc w:val="center"/>
              <w:rPr>
                <w:rFonts w:cs="Arial"/>
                <w:b/>
                <w:bCs/>
              </w:rPr>
            </w:pPr>
            <w:r>
              <w:rPr>
                <w:rFonts w:cs="Arial"/>
                <w:b/>
                <w:bCs/>
              </w:rPr>
              <w:t>14</w:t>
            </w:r>
          </w:p>
        </w:tc>
      </w:tr>
    </w:tbl>
    <w:p w:rsidR="006D0EDA" w:rsidRPr="00E95F45" w:rsidP="006D0EDA">
      <w:pPr>
        <w:spacing w:after="0"/>
        <w:ind w:right="-46"/>
        <w:rPr>
          <w:rFonts w:cs="Arial"/>
          <w:b/>
          <w:bCs/>
          <w:highlight w:val="yellow"/>
        </w:rPr>
      </w:pPr>
    </w:p>
    <w:p w:rsidR="006D0EDA" w:rsidRPr="00E95F45" w:rsidP="006D0EDA">
      <w:pPr>
        <w:autoSpaceDE/>
        <w:autoSpaceDN/>
        <w:adjustRightInd/>
        <w:spacing w:after="0"/>
        <w:jc w:val="left"/>
        <w:rPr>
          <w:rFonts w:cs="Arial"/>
          <w:b/>
          <w:highlight w:val="yellow"/>
        </w:rPr>
      </w:pPr>
      <w:r w:rsidRPr="00E95F45">
        <w:rPr>
          <w:rFonts w:cs="Arial"/>
          <w:b/>
          <w:highlight w:val="yellow"/>
        </w:rPr>
        <w:br w:type="page"/>
      </w:r>
    </w:p>
    <w:p w:rsidR="006D0EDA" w:rsidRPr="003112C7" w:rsidP="006D0EDA">
      <w:pPr>
        <w:numPr>
          <w:ilvl w:val="0"/>
          <w:numId w:val="25"/>
        </w:numPr>
        <w:spacing w:after="0"/>
        <w:ind w:left="567" w:hanging="567"/>
        <w:contextualSpacing/>
        <w:rPr>
          <w:rFonts w:cs="Arial"/>
          <w:b/>
        </w:rPr>
      </w:pPr>
      <w:r w:rsidRPr="003112C7">
        <w:rPr>
          <w:rFonts w:cs="Arial"/>
          <w:b/>
        </w:rPr>
        <w:t>Executive summary</w:t>
      </w:r>
    </w:p>
    <w:p w:rsidR="006D0EDA" w:rsidRPr="003112C7" w:rsidP="006D0EDA">
      <w:pPr>
        <w:spacing w:after="0"/>
        <w:ind w:left="567"/>
        <w:contextualSpacing/>
        <w:rPr>
          <w:rFonts w:cs="Arial"/>
          <w:b/>
        </w:rPr>
      </w:pPr>
    </w:p>
    <w:p w:rsidR="00107BEC" w:rsidP="003C12EA">
      <w:pPr>
        <w:tabs>
          <w:tab w:val="left" w:pos="567"/>
          <w:tab w:val="left" w:pos="1134"/>
        </w:tabs>
        <w:spacing w:after="0"/>
        <w:rPr>
          <w:rFonts w:cs="Arial"/>
          <w:color w:val="0B0C0C"/>
          <w:shd w:val="clear" w:color="auto" w:fill="FFFFFF"/>
        </w:rPr>
      </w:pPr>
      <w:r>
        <w:rPr>
          <w:rFonts w:cs="Arial"/>
        </w:rPr>
        <w:t xml:space="preserve">At Cabinet in September 2020 </w:t>
      </w:r>
      <w:r w:rsidRPr="003112C7" w:rsidR="003C12EA">
        <w:rPr>
          <w:rFonts w:cs="Arial"/>
        </w:rPr>
        <w:t xml:space="preserve">the </w:t>
      </w:r>
      <w:r w:rsidR="00F13F74">
        <w:rPr>
          <w:rFonts w:cs="Arial"/>
        </w:rPr>
        <w:t xml:space="preserve">updated </w:t>
      </w:r>
      <w:r w:rsidRPr="003112C7" w:rsidR="003C12EA">
        <w:rPr>
          <w:rFonts w:cs="Arial"/>
        </w:rPr>
        <w:t xml:space="preserve">medium term financial strategy (MTFS) set out a forecast aggregated funding gap of </w:t>
      </w:r>
      <w:r>
        <w:rPr>
          <w:rFonts w:cs="Arial"/>
        </w:rPr>
        <w:t xml:space="preserve">£52.209m in 2021/22 and </w:t>
      </w:r>
      <w:r w:rsidRPr="003112C7" w:rsidR="003C12EA">
        <w:rPr>
          <w:rFonts w:cs="Arial"/>
        </w:rPr>
        <w:t>£</w:t>
      </w:r>
      <w:r>
        <w:rPr>
          <w:rFonts w:cs="Arial"/>
        </w:rPr>
        <w:t>79.306m by the end of the 3</w:t>
      </w:r>
      <w:r w:rsidRPr="003112C7" w:rsidR="003C12EA">
        <w:rPr>
          <w:rFonts w:cs="Arial"/>
        </w:rPr>
        <w:t xml:space="preserve"> year period (202</w:t>
      </w:r>
      <w:r>
        <w:rPr>
          <w:rFonts w:cs="Arial"/>
        </w:rPr>
        <w:t>1</w:t>
      </w:r>
      <w:r w:rsidRPr="003112C7" w:rsidR="003C12EA">
        <w:rPr>
          <w:rFonts w:cs="Arial"/>
        </w:rPr>
        <w:t>/2</w:t>
      </w:r>
      <w:r>
        <w:rPr>
          <w:rFonts w:cs="Arial"/>
        </w:rPr>
        <w:t>2</w:t>
      </w:r>
      <w:r w:rsidRPr="003112C7" w:rsidR="003C12EA">
        <w:rPr>
          <w:rFonts w:cs="Arial"/>
        </w:rPr>
        <w:t xml:space="preserve"> – 2023/24). </w:t>
      </w:r>
      <w:r w:rsidR="00F13F74">
        <w:rPr>
          <w:rFonts w:cs="Arial"/>
        </w:rPr>
        <w:t xml:space="preserve">This reflected the </w:t>
      </w:r>
      <w:r w:rsidRPr="003112C7" w:rsidR="00F13F74">
        <w:rPr>
          <w:rFonts w:cs="Arial"/>
        </w:rPr>
        <w:t>ongoing and unprecedented uncertainty in relation to future local government funding and t</w:t>
      </w:r>
      <w:r w:rsidR="00F13F74">
        <w:rPr>
          <w:rFonts w:cs="Arial"/>
        </w:rPr>
        <w:t>he financial impact of the C</w:t>
      </w:r>
      <w:r w:rsidR="0093494E">
        <w:rPr>
          <w:rFonts w:cs="Arial"/>
        </w:rPr>
        <w:t>ovid</w:t>
      </w:r>
      <w:r w:rsidRPr="003112C7" w:rsidR="00F13F74">
        <w:rPr>
          <w:rFonts w:cs="Arial"/>
        </w:rPr>
        <w:t>-19 emergency</w:t>
      </w:r>
      <w:r w:rsidR="00F13F74">
        <w:rPr>
          <w:rFonts w:cs="Arial"/>
        </w:rPr>
        <w:t>.</w:t>
      </w:r>
      <w:r w:rsidRPr="003112C7" w:rsidR="00F13F74">
        <w:rPr>
          <w:rFonts w:cs="Arial"/>
        </w:rPr>
        <w:t xml:space="preserve"> </w:t>
      </w:r>
      <w:r>
        <w:rPr>
          <w:rFonts w:cs="Arial"/>
        </w:rPr>
        <w:t xml:space="preserve">Whilst a multi-year Spending Review was originally expected, the </w:t>
      </w:r>
      <w:r w:rsidRPr="0079043C">
        <w:rPr>
          <w:rFonts w:cs="Arial"/>
          <w:color w:val="0B0C0C"/>
          <w:shd w:val="clear" w:color="auto" w:fill="FFFFFF"/>
        </w:rPr>
        <w:t xml:space="preserve">Chancellor and the Prime Minister have </w:t>
      </w:r>
      <w:r>
        <w:rPr>
          <w:rFonts w:cs="Arial"/>
          <w:color w:val="0B0C0C"/>
          <w:shd w:val="clear" w:color="auto" w:fill="FFFFFF"/>
        </w:rPr>
        <w:t xml:space="preserve">now </w:t>
      </w:r>
      <w:r w:rsidRPr="0079043C">
        <w:rPr>
          <w:rFonts w:cs="Arial"/>
          <w:color w:val="0B0C0C"/>
          <w:shd w:val="clear" w:color="auto" w:fill="FFFFFF"/>
        </w:rPr>
        <w:t>decided to conduct a one-year Spending Review, setting department’s resour</w:t>
      </w:r>
      <w:r w:rsidR="0093494E">
        <w:rPr>
          <w:rFonts w:cs="Arial"/>
          <w:color w:val="0B0C0C"/>
          <w:shd w:val="clear" w:color="auto" w:fill="FFFFFF"/>
        </w:rPr>
        <w:t>ce and capital budgets for 2021/</w:t>
      </w:r>
      <w:r w:rsidRPr="0079043C">
        <w:rPr>
          <w:rFonts w:cs="Arial"/>
          <w:color w:val="0B0C0C"/>
          <w:shd w:val="clear" w:color="auto" w:fill="FFFFFF"/>
        </w:rPr>
        <w:t>22</w:t>
      </w:r>
      <w:r>
        <w:rPr>
          <w:rFonts w:cs="Arial"/>
          <w:color w:val="0B0C0C"/>
          <w:shd w:val="clear" w:color="auto" w:fill="FFFFFF"/>
        </w:rPr>
        <w:t xml:space="preserve"> only i</w:t>
      </w:r>
      <w:r w:rsidRPr="0093494E">
        <w:rPr>
          <w:rFonts w:cs="Arial"/>
          <w:color w:val="0B0C0C"/>
          <w:shd w:val="clear" w:color="auto" w:fill="FFFFFF"/>
        </w:rPr>
        <w:t xml:space="preserve">n order to prioritise the response to Covid-19 and </w:t>
      </w:r>
      <w:r>
        <w:rPr>
          <w:rFonts w:cs="Arial"/>
          <w:color w:val="0B0C0C"/>
          <w:shd w:val="clear" w:color="auto" w:fill="FFFFFF"/>
        </w:rPr>
        <w:t>f</w:t>
      </w:r>
      <w:r w:rsidRPr="0093494E">
        <w:rPr>
          <w:rFonts w:cs="Arial"/>
          <w:color w:val="0B0C0C"/>
          <w:shd w:val="clear" w:color="auto" w:fill="FFFFFF"/>
        </w:rPr>
        <w:t>ocus on supporting jobs</w:t>
      </w:r>
      <w:r>
        <w:rPr>
          <w:rFonts w:cs="Arial"/>
          <w:color w:val="0B0C0C"/>
          <w:shd w:val="clear" w:color="auto" w:fill="FFFFFF"/>
        </w:rPr>
        <w:t>. The exact date of the Spending Review has not been confirmed yet but will conclude in late November and this and the subsequent settlement may have a significant impact on the forecast gap in 2021/22</w:t>
      </w:r>
      <w:r w:rsidR="00F12760">
        <w:rPr>
          <w:rFonts w:cs="Arial"/>
          <w:color w:val="0B0C0C"/>
          <w:shd w:val="clear" w:color="auto" w:fill="FFFFFF"/>
        </w:rPr>
        <w:t xml:space="preserve"> given the clear recognition now that financial pressures relating to Covid-19 will continue into 2021/22 and beyond</w:t>
      </w:r>
      <w:r>
        <w:rPr>
          <w:rFonts w:cs="Arial"/>
          <w:color w:val="0B0C0C"/>
          <w:shd w:val="clear" w:color="auto" w:fill="FFFFFF"/>
        </w:rPr>
        <w:t xml:space="preserve">.  </w:t>
      </w:r>
    </w:p>
    <w:p w:rsidR="00107BEC" w:rsidP="003C12EA">
      <w:pPr>
        <w:tabs>
          <w:tab w:val="left" w:pos="567"/>
          <w:tab w:val="left" w:pos="1134"/>
        </w:tabs>
        <w:spacing w:after="0"/>
        <w:rPr>
          <w:rFonts w:cs="Arial"/>
          <w:color w:val="0B0C0C"/>
          <w:shd w:val="clear" w:color="auto" w:fill="FFFFFF"/>
        </w:rPr>
      </w:pPr>
    </w:p>
    <w:p w:rsidR="006D0EDA" w:rsidRPr="003112C7" w:rsidP="003C12EA">
      <w:pPr>
        <w:tabs>
          <w:tab w:val="left" w:pos="567"/>
          <w:tab w:val="left" w:pos="1134"/>
        </w:tabs>
        <w:spacing w:after="0"/>
        <w:rPr>
          <w:rFonts w:cs="Arial"/>
        </w:rPr>
      </w:pPr>
      <w:r w:rsidRPr="00107BEC">
        <w:rPr>
          <w:rFonts w:cs="Arial"/>
        </w:rPr>
        <w:t>T</w:t>
      </w:r>
      <w:r w:rsidRPr="003112C7">
        <w:rPr>
          <w:rFonts w:cs="Arial"/>
        </w:rPr>
        <w:t>his report provides an updated position covering the financial years 2021/22 – 2023/24</w:t>
      </w:r>
      <w:r w:rsidR="00F13F74">
        <w:rPr>
          <w:rFonts w:cs="Arial"/>
        </w:rPr>
        <w:t xml:space="preserve"> </w:t>
      </w:r>
      <w:r w:rsidR="00107BEC">
        <w:rPr>
          <w:rFonts w:cs="Arial"/>
        </w:rPr>
        <w:t xml:space="preserve">but </w:t>
      </w:r>
      <w:r w:rsidR="00F13F74">
        <w:rPr>
          <w:rFonts w:cs="Arial"/>
        </w:rPr>
        <w:t xml:space="preserve">the </w:t>
      </w:r>
      <w:r w:rsidR="00107BEC">
        <w:rPr>
          <w:rFonts w:cs="Arial"/>
        </w:rPr>
        <w:t xml:space="preserve">changes are relatively small pending the </w:t>
      </w:r>
      <w:r w:rsidR="00F13F74">
        <w:rPr>
          <w:rFonts w:cs="Arial"/>
        </w:rPr>
        <w:t>outcome of the Spending Review</w:t>
      </w:r>
      <w:r w:rsidR="00107BEC">
        <w:rPr>
          <w:rFonts w:cs="Arial"/>
        </w:rPr>
        <w:t xml:space="preserve">.  </w:t>
      </w:r>
      <w:r w:rsidR="00F13F74">
        <w:rPr>
          <w:rFonts w:cs="Arial"/>
        </w:rPr>
        <w:t xml:space="preserve"> </w:t>
      </w:r>
    </w:p>
    <w:p w:rsidR="008576B9" w:rsidP="003C12EA">
      <w:pPr>
        <w:tabs>
          <w:tab w:val="left" w:pos="567"/>
          <w:tab w:val="left" w:pos="1134"/>
        </w:tabs>
        <w:spacing w:after="0"/>
        <w:rPr>
          <w:rFonts w:cs="Arial"/>
        </w:rPr>
      </w:pPr>
    </w:p>
    <w:p w:rsidR="008576B9" w:rsidRPr="00E95F45" w:rsidP="003C12EA">
      <w:pPr>
        <w:tabs>
          <w:tab w:val="left" w:pos="567"/>
          <w:tab w:val="left" w:pos="1134"/>
        </w:tabs>
        <w:spacing w:after="0"/>
        <w:rPr>
          <w:rFonts w:cs="Arial"/>
          <w:highlight w:val="yellow"/>
        </w:rPr>
      </w:pPr>
      <w:r>
        <w:rPr>
          <w:rFonts w:cs="Arial"/>
        </w:rPr>
        <w:t xml:space="preserve">Following the recent announcement that Lancashire will be within Tier 3 of local restrictions, with further funding received, </w:t>
      </w:r>
      <w:r w:rsidR="0013443E">
        <w:rPr>
          <w:rFonts w:cs="Arial"/>
        </w:rPr>
        <w:t>analysis over coming months</w:t>
      </w:r>
      <w:r>
        <w:rPr>
          <w:rFonts w:cs="Arial"/>
        </w:rPr>
        <w:t xml:space="preserve"> will be required to fully assess the impact of these additional restrictions and the longer term impact on the county council's financial projections. </w:t>
      </w:r>
    </w:p>
    <w:p w:rsidR="006D0EDA" w:rsidRPr="004556DD">
      <w:pPr>
        <w:tabs>
          <w:tab w:val="left" w:pos="567"/>
          <w:tab w:val="left" w:pos="1134"/>
        </w:tabs>
        <w:spacing w:after="0"/>
        <w:rPr>
          <w:rFonts w:cs="Arial"/>
        </w:rPr>
      </w:pPr>
    </w:p>
    <w:p w:rsidR="006D0EDA" w:rsidRPr="004556DD">
      <w:pPr>
        <w:tabs>
          <w:tab w:val="left" w:pos="567"/>
          <w:tab w:val="left" w:pos="1134"/>
        </w:tabs>
        <w:spacing w:after="0"/>
        <w:rPr>
          <w:rFonts w:cs="Arial"/>
        </w:rPr>
      </w:pPr>
      <w:r w:rsidRPr="004556DD">
        <w:rPr>
          <w:rFonts w:cs="Arial"/>
        </w:rPr>
        <w:t>The updated aggregated funding gap contained within the report is £</w:t>
      </w:r>
      <w:r w:rsidRPr="004556DD" w:rsidR="002F5337">
        <w:rPr>
          <w:rFonts w:cs="Arial"/>
        </w:rPr>
        <w:t>7</w:t>
      </w:r>
      <w:r w:rsidRPr="004556DD" w:rsidR="003112C7">
        <w:rPr>
          <w:rFonts w:cs="Arial"/>
        </w:rPr>
        <w:t>8.79</w:t>
      </w:r>
      <w:r w:rsidR="00A5032E">
        <w:rPr>
          <w:rFonts w:cs="Arial"/>
        </w:rPr>
        <w:t>1</w:t>
      </w:r>
      <w:r w:rsidRPr="004556DD" w:rsidR="002F5337">
        <w:rPr>
          <w:rFonts w:cs="Arial"/>
        </w:rPr>
        <w:t>m</w:t>
      </w:r>
      <w:r w:rsidRPr="004556DD">
        <w:rPr>
          <w:rFonts w:cs="Arial"/>
        </w:rPr>
        <w:t xml:space="preserve"> by 2023/24 which is a </w:t>
      </w:r>
      <w:r w:rsidRPr="004556DD" w:rsidR="003112C7">
        <w:rPr>
          <w:rFonts w:cs="Arial"/>
        </w:rPr>
        <w:t>reduction</w:t>
      </w:r>
      <w:r w:rsidRPr="004556DD">
        <w:rPr>
          <w:rFonts w:cs="Arial"/>
        </w:rPr>
        <w:t xml:space="preserve"> of £</w:t>
      </w:r>
      <w:r w:rsidRPr="004556DD" w:rsidR="003112C7">
        <w:rPr>
          <w:rFonts w:cs="Arial"/>
        </w:rPr>
        <w:t>0.515m</w:t>
      </w:r>
      <w:r w:rsidRPr="004556DD">
        <w:rPr>
          <w:rFonts w:cs="Arial"/>
        </w:rPr>
        <w:t xml:space="preserve"> from the previous</w:t>
      </w:r>
      <w:r w:rsidRPr="004556DD" w:rsidR="003112C7">
        <w:rPr>
          <w:rFonts w:cs="Arial"/>
        </w:rPr>
        <w:t>ly reported position in September</w:t>
      </w:r>
      <w:r w:rsidRPr="004556DD">
        <w:rPr>
          <w:rFonts w:cs="Arial"/>
        </w:rPr>
        <w:t>. The forecast includes our latest estimate of the funding and cost implications of the pandemic including collection fund imp</w:t>
      </w:r>
      <w:r w:rsidR="007464AA">
        <w:rPr>
          <w:rFonts w:cs="Arial"/>
        </w:rPr>
        <w:t>acts, along with other non-Covid</w:t>
      </w:r>
      <w:r w:rsidR="00DF5452">
        <w:rPr>
          <w:rFonts w:cs="Arial"/>
        </w:rPr>
        <w:t>-19</w:t>
      </w:r>
      <w:r w:rsidRPr="004556DD">
        <w:rPr>
          <w:rFonts w:cs="Arial"/>
        </w:rPr>
        <w:t xml:space="preserve"> related adjustments.  The main reasons for the changes to the position are as follows:</w:t>
      </w:r>
    </w:p>
    <w:p w:rsidR="006D0EDA" w:rsidRPr="004556DD" w:rsidP="006D0EDA">
      <w:pPr>
        <w:tabs>
          <w:tab w:val="left" w:pos="567"/>
          <w:tab w:val="left" w:pos="1134"/>
        </w:tabs>
        <w:spacing w:after="0"/>
        <w:rPr>
          <w:rFonts w:cs="Arial"/>
        </w:rPr>
      </w:pPr>
    </w:p>
    <w:p w:rsidR="006D0EDA" w:rsidP="006D0EDA">
      <w:pPr>
        <w:numPr>
          <w:ilvl w:val="0"/>
          <w:numId w:val="44"/>
        </w:numPr>
        <w:tabs>
          <w:tab w:val="left" w:pos="567"/>
          <w:tab w:val="left" w:pos="1134"/>
        </w:tabs>
        <w:spacing w:after="0"/>
        <w:contextualSpacing/>
        <w:rPr>
          <w:rFonts w:cs="Arial"/>
        </w:rPr>
      </w:pPr>
      <w:r w:rsidRPr="004556DD">
        <w:rPr>
          <w:rFonts w:cs="Arial"/>
        </w:rPr>
        <w:t xml:space="preserve">A revised </w:t>
      </w:r>
      <w:r w:rsidRPr="004556DD" w:rsidR="003C12EA">
        <w:rPr>
          <w:rFonts w:cs="Arial"/>
        </w:rPr>
        <w:t>foreca</w:t>
      </w:r>
      <w:r w:rsidRPr="004556DD">
        <w:rPr>
          <w:rFonts w:cs="Arial"/>
        </w:rPr>
        <w:t>st collection fund deficit of £2</w:t>
      </w:r>
      <w:r w:rsidRPr="004556DD" w:rsidR="003C12EA">
        <w:rPr>
          <w:rFonts w:cs="Arial"/>
        </w:rPr>
        <w:t>0</w:t>
      </w:r>
      <w:r w:rsidRPr="004556DD">
        <w:rPr>
          <w:rFonts w:cs="Arial"/>
        </w:rPr>
        <w:t>.767</w:t>
      </w:r>
      <w:r w:rsidRPr="004556DD" w:rsidR="003C12EA">
        <w:rPr>
          <w:rFonts w:cs="Arial"/>
        </w:rPr>
        <w:t>m for 2020/21 which after the Local Government Secretary announcement on the 2</w:t>
      </w:r>
      <w:r w:rsidRPr="004556DD" w:rsidR="003C12EA">
        <w:rPr>
          <w:rFonts w:cs="Arial"/>
          <w:vertAlign w:val="superscript"/>
        </w:rPr>
        <w:t>nd</w:t>
      </w:r>
      <w:r w:rsidRPr="004556DD" w:rsidR="003C12EA">
        <w:rPr>
          <w:rFonts w:cs="Arial"/>
        </w:rPr>
        <w:t xml:space="preserve"> July of a proposal for a phased repayment of council tax and busine</w:t>
      </w:r>
      <w:r w:rsidRPr="004556DD" w:rsidR="004556DD">
        <w:rPr>
          <w:rFonts w:cs="Arial"/>
        </w:rPr>
        <w:t xml:space="preserve">ss rates deficits over 3 years. This is an improvement of c£3m per annum. </w:t>
      </w:r>
    </w:p>
    <w:p w:rsidR="004556DD" w:rsidP="006D0EDA">
      <w:pPr>
        <w:numPr>
          <w:ilvl w:val="0"/>
          <w:numId w:val="44"/>
        </w:numPr>
        <w:tabs>
          <w:tab w:val="left" w:pos="567"/>
          <w:tab w:val="left" w:pos="1134"/>
        </w:tabs>
        <w:spacing w:after="0"/>
        <w:contextualSpacing/>
        <w:rPr>
          <w:rFonts w:cs="Arial"/>
        </w:rPr>
      </w:pPr>
      <w:r>
        <w:rPr>
          <w:rFonts w:cs="Arial"/>
        </w:rPr>
        <w:t xml:space="preserve">Capital receipts of £2.5m have </w:t>
      </w:r>
      <w:r w:rsidRPr="00DF5452">
        <w:rPr>
          <w:rFonts w:cs="Arial"/>
        </w:rPr>
        <w:t xml:space="preserve">been included in </w:t>
      </w:r>
      <w:r w:rsidR="00F12760">
        <w:rPr>
          <w:rFonts w:cs="Arial"/>
        </w:rPr>
        <w:t xml:space="preserve">funding levels for </w:t>
      </w:r>
      <w:r w:rsidR="00DF5452">
        <w:rPr>
          <w:rFonts w:cs="Arial"/>
        </w:rPr>
        <w:t xml:space="preserve">2021/22, as this is the final year of </w:t>
      </w:r>
      <w:r w:rsidR="00F12760">
        <w:rPr>
          <w:rFonts w:cs="Arial"/>
        </w:rPr>
        <w:t xml:space="preserve">the </w:t>
      </w:r>
      <w:r w:rsidR="00DF5452">
        <w:rPr>
          <w:rFonts w:cs="Arial"/>
        </w:rPr>
        <w:t>flexibilit</w:t>
      </w:r>
      <w:r w:rsidR="00F12760">
        <w:rPr>
          <w:rFonts w:cs="Arial"/>
        </w:rPr>
        <w:t>ies</w:t>
      </w:r>
      <w:r w:rsidR="00DF5452">
        <w:rPr>
          <w:rFonts w:cs="Arial"/>
        </w:rPr>
        <w:t xml:space="preserve"> offered by the Government. </w:t>
      </w:r>
    </w:p>
    <w:p w:rsidR="004556DD" w:rsidP="006D0EDA">
      <w:pPr>
        <w:numPr>
          <w:ilvl w:val="0"/>
          <w:numId w:val="44"/>
        </w:numPr>
        <w:tabs>
          <w:tab w:val="left" w:pos="567"/>
          <w:tab w:val="left" w:pos="1134"/>
        </w:tabs>
        <w:spacing w:after="0"/>
        <w:contextualSpacing/>
        <w:rPr>
          <w:rFonts w:cs="Arial"/>
        </w:rPr>
      </w:pPr>
      <w:r>
        <w:rPr>
          <w:rFonts w:cs="Arial"/>
        </w:rPr>
        <w:t xml:space="preserve">Additional staffing pressures c£1.4m predominantly relating to additional posts in Economic Development which were approved by Cabinet in September 2020. </w:t>
      </w:r>
    </w:p>
    <w:p w:rsidR="004556DD" w:rsidRPr="004556DD" w:rsidP="006D0EDA">
      <w:pPr>
        <w:numPr>
          <w:ilvl w:val="0"/>
          <w:numId w:val="44"/>
        </w:numPr>
        <w:tabs>
          <w:tab w:val="left" w:pos="567"/>
          <w:tab w:val="left" w:pos="1134"/>
        </w:tabs>
        <w:spacing w:after="0"/>
        <w:contextualSpacing/>
        <w:rPr>
          <w:rFonts w:cs="Arial"/>
        </w:rPr>
      </w:pPr>
      <w:r>
        <w:rPr>
          <w:rFonts w:cs="Arial"/>
        </w:rPr>
        <w:t xml:space="preserve">Re-profiled savings due to delays as a result of the pandemic across the integrated transport service and children's services. </w:t>
      </w:r>
    </w:p>
    <w:p w:rsidR="006D0EDA" w:rsidRPr="00E95F45" w:rsidP="006D0EDA">
      <w:pPr>
        <w:rPr>
          <w:rFonts w:cs="Arial"/>
          <w:highlight w:val="yellow"/>
        </w:rPr>
      </w:pPr>
    </w:p>
    <w:p w:rsidR="006D0EDA" w:rsidRPr="001D6211" w:rsidP="00A70377">
      <w:pPr>
        <w:spacing w:after="0"/>
        <w:rPr>
          <w:rFonts w:cs="Arial"/>
        </w:rPr>
      </w:pPr>
      <w:r w:rsidRPr="001D6211">
        <w:rPr>
          <w:rFonts w:cs="Arial"/>
        </w:rPr>
        <w:t>The overall position over the 3 year period indicate</w:t>
      </w:r>
      <w:r w:rsidRPr="001D6211" w:rsidR="001D6211">
        <w:rPr>
          <w:rFonts w:cs="Arial"/>
        </w:rPr>
        <w:t>s a structural deficit of £50.368</w:t>
      </w:r>
      <w:r w:rsidRPr="001D6211">
        <w:rPr>
          <w:rFonts w:cs="Arial"/>
        </w:rPr>
        <w:t>m in 2021/22 rising to</w:t>
      </w:r>
      <w:r w:rsidRPr="001D6211" w:rsidR="001D6211">
        <w:rPr>
          <w:rFonts w:cs="Arial"/>
        </w:rPr>
        <w:t xml:space="preserve"> </w:t>
      </w:r>
      <w:r w:rsidR="00A5032E">
        <w:rPr>
          <w:rFonts w:cs="Arial"/>
        </w:rPr>
        <w:t>an aggregated deficit of £78.791</w:t>
      </w:r>
      <w:r w:rsidRPr="001D6211">
        <w:rPr>
          <w:rFonts w:cs="Arial"/>
        </w:rPr>
        <w:t>m by 2023/24, assuming no additional government financial support in those years.</w:t>
      </w:r>
    </w:p>
    <w:p w:rsidR="003C12EA" w:rsidRPr="00DF5452" w:rsidP="00A70377">
      <w:pPr>
        <w:spacing w:after="0"/>
        <w:rPr>
          <w:rFonts w:cs="Arial"/>
        </w:rPr>
      </w:pPr>
    </w:p>
    <w:p w:rsidR="006D0EDA" w:rsidRPr="00DF5452" w:rsidP="00A70377">
      <w:pPr>
        <w:spacing w:after="0"/>
        <w:rPr>
          <w:rFonts w:cs="Arial"/>
        </w:rPr>
      </w:pPr>
      <w:r w:rsidRPr="00DF5452">
        <w:rPr>
          <w:rFonts w:cs="Arial"/>
        </w:rPr>
        <w:t xml:space="preserve">In arriving at the revised funding gap it has been necessary to make assumptions about future funding levels and there remains significant uncertainty about this </w:t>
      </w:r>
      <w:r w:rsidR="00F12760">
        <w:rPr>
          <w:rFonts w:cs="Arial"/>
        </w:rPr>
        <w:t>going forward</w:t>
      </w:r>
      <w:r w:rsidRPr="00DF5452">
        <w:rPr>
          <w:rFonts w:cs="Arial"/>
        </w:rPr>
        <w:t xml:space="preserve">. With the changes to be made in respect of business rates retention, and the </w:t>
      </w:r>
      <w:r w:rsidRPr="00DF5452">
        <w:rPr>
          <w:rFonts w:cs="Arial"/>
        </w:rPr>
        <w:t>overall funding formula which have been delayed for a further year, the anticipated green paper on adult social care and the aforementioned government spending review being significant for our future funding stream.</w:t>
      </w:r>
    </w:p>
    <w:p w:rsidR="003C12EA" w:rsidRPr="00E95F45" w:rsidP="00A70377">
      <w:pPr>
        <w:spacing w:after="0"/>
        <w:rPr>
          <w:rFonts w:cs="Arial"/>
          <w:highlight w:val="yellow"/>
        </w:rPr>
      </w:pPr>
    </w:p>
    <w:p w:rsidR="006D0EDA" w:rsidRPr="001D6211" w:rsidP="003C12EA">
      <w:pPr>
        <w:autoSpaceDE/>
        <w:autoSpaceDN/>
        <w:adjustRightInd/>
        <w:spacing w:after="0"/>
        <w:textAlignment w:val="baseline"/>
        <w:rPr>
          <w:rFonts w:cs="Arial"/>
        </w:rPr>
      </w:pPr>
      <w:r w:rsidRPr="001D6211">
        <w:rPr>
          <w:rFonts w:cs="Arial"/>
        </w:rPr>
        <w:t>The value of the uncommitted transitional reserve is currently forecast to be sufficient to meet the identified funding gaps for the first two years of the MTFS, which provides time to address the structural deficit in a considered and sustainable way. We will look to maximise efficiencies across services and commence work to identify potential savings should a poor settlement arise.</w:t>
      </w:r>
    </w:p>
    <w:p w:rsidR="006D0EDA" w:rsidRPr="00E95F45" w:rsidP="006D0EDA">
      <w:pPr>
        <w:autoSpaceDE/>
        <w:autoSpaceDN/>
        <w:adjustRightInd/>
        <w:spacing w:after="0"/>
        <w:textAlignment w:val="baseline"/>
        <w:rPr>
          <w:rFonts w:cs="Arial"/>
          <w:highlight w:val="yellow"/>
        </w:rPr>
      </w:pPr>
      <w:r w:rsidRPr="00E95F45">
        <w:rPr>
          <w:rFonts w:cs="Arial"/>
          <w:highlight w:val="yellow"/>
        </w:rPr>
        <w:t xml:space="preserve"> </w:t>
      </w: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1D6211" w:rsidP="006D0EDA">
      <w:pPr>
        <w:autoSpaceDE/>
        <w:autoSpaceDN/>
        <w:adjustRightInd/>
        <w:spacing w:after="0"/>
        <w:textAlignment w:val="baseline"/>
        <w:rPr>
          <w:rFonts w:cs="Arial"/>
          <w:highlight w:val="yellow"/>
        </w:rPr>
      </w:pPr>
    </w:p>
    <w:p w:rsidR="00DF5452"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CA2AD7" w:rsidP="006D0EDA">
      <w:pPr>
        <w:autoSpaceDE/>
        <w:autoSpaceDN/>
        <w:adjustRightInd/>
        <w:spacing w:after="0"/>
        <w:textAlignment w:val="baseline"/>
        <w:rPr>
          <w:rFonts w:cs="Arial"/>
          <w:highlight w:val="yellow"/>
        </w:rPr>
      </w:pPr>
    </w:p>
    <w:p w:rsidR="0093494E" w:rsidP="006D0EDA">
      <w:pPr>
        <w:autoSpaceDE/>
        <w:autoSpaceDN/>
        <w:adjustRightInd/>
        <w:spacing w:after="0"/>
        <w:textAlignment w:val="baseline"/>
        <w:rPr>
          <w:rFonts w:cs="Arial"/>
          <w:highlight w:val="yellow"/>
        </w:rPr>
      </w:pPr>
    </w:p>
    <w:p w:rsidR="006D0EDA" w:rsidRPr="001D6211" w:rsidP="006D0EDA">
      <w:pPr>
        <w:autoSpaceDE/>
        <w:autoSpaceDN/>
        <w:adjustRightInd/>
        <w:spacing w:after="0"/>
        <w:textAlignment w:val="baseline"/>
        <w:rPr>
          <w:rFonts w:cs="Arial"/>
        </w:rPr>
      </w:pPr>
      <w:r w:rsidRPr="001D6211">
        <w:rPr>
          <w:rFonts w:cs="Arial"/>
        </w:rPr>
        <w:t xml:space="preserve">The table below provides a detailed analysis of movements between the previously reported financial gap and the revised financial gap: </w:t>
      </w:r>
    </w:p>
    <w:p w:rsidR="006D0EDA" w:rsidRPr="00E95F45" w:rsidP="006D0EDA">
      <w:pPr>
        <w:spacing w:after="0"/>
        <w:rPr>
          <w:rFonts w:cs="Arial"/>
          <w:highlight w:val="yellow"/>
        </w:rPr>
      </w:pPr>
    </w:p>
    <w:p w:rsidR="006D0EDA" w:rsidRPr="00DF5452" w:rsidP="006D0EDA">
      <w:pPr>
        <w:spacing w:after="0"/>
        <w:rPr>
          <w:rFonts w:cs="Arial"/>
        </w:rPr>
      </w:pPr>
      <w:r w:rsidRPr="00DF5452">
        <w:rPr>
          <w:rFonts w:cs="Arial"/>
          <w:b/>
          <w:i/>
          <w:u w:val="single"/>
        </w:rPr>
        <w:t>Table 1</w:t>
      </w:r>
    </w:p>
    <w:p w:rsidR="006D0EDA" w:rsidRPr="00E95F45" w:rsidP="006D0EDA">
      <w:pPr>
        <w:tabs>
          <w:tab w:val="left" w:pos="567"/>
          <w:tab w:val="left" w:pos="1134"/>
        </w:tabs>
        <w:spacing w:after="0"/>
        <w:rPr>
          <w:rFonts w:cs="Arial"/>
          <w:highlight w:val="yellow"/>
        </w:rPr>
      </w:pPr>
    </w:p>
    <w:tbl>
      <w:tblPr>
        <w:tblW w:w="9351" w:type="dxa"/>
        <w:tblLook w:val="04A0"/>
      </w:tblPr>
      <w:tblGrid>
        <w:gridCol w:w="3700"/>
        <w:gridCol w:w="1412"/>
        <w:gridCol w:w="1413"/>
        <w:gridCol w:w="1413"/>
        <w:gridCol w:w="1413"/>
      </w:tblGrid>
      <w:tr w:rsidTr="000A002B">
        <w:tblPrEx>
          <w:tblW w:w="9351" w:type="dxa"/>
          <w:tblLook w:val="04A0"/>
        </w:tblPrEx>
        <w:trPr>
          <w:trHeight w:val="300"/>
        </w:trPr>
        <w:tc>
          <w:tcPr>
            <w:tcW w:w="3700" w:type="dxa"/>
            <w:tcBorders>
              <w:top w:val="single" w:sz="4" w:space="0" w:color="auto"/>
              <w:left w:val="single" w:sz="4" w:space="0" w:color="auto"/>
              <w:bottom w:val="nil"/>
              <w:right w:val="single" w:sz="8" w:space="0" w:color="auto"/>
            </w:tcBorders>
            <w:shd w:val="clear" w:color="000000" w:fill="BDD7EE"/>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 </w:t>
            </w:r>
          </w:p>
        </w:tc>
        <w:tc>
          <w:tcPr>
            <w:tcW w:w="1412" w:type="dxa"/>
            <w:tcBorders>
              <w:top w:val="single" w:sz="4" w:space="0" w:color="auto"/>
              <w:left w:val="nil"/>
              <w:bottom w:val="nil"/>
              <w:right w:val="single" w:sz="8" w:space="0" w:color="auto"/>
            </w:tcBorders>
            <w:shd w:val="clear" w:color="000000" w:fill="BDD7EE"/>
            <w:vAlign w:val="center"/>
            <w:hideMark/>
          </w:tcPr>
          <w:p w:rsidR="000A002B" w:rsidRPr="001D6211" w:rsidP="001D6211">
            <w:pPr>
              <w:autoSpaceDE/>
              <w:autoSpaceDN/>
              <w:adjustRightInd/>
              <w:spacing w:after="0"/>
              <w:jc w:val="center"/>
              <w:rPr>
                <w:rFonts w:eastAsia="Times New Roman" w:cs="Arial"/>
                <w:b/>
                <w:bCs/>
                <w:lang w:eastAsia="en-GB"/>
              </w:rPr>
            </w:pPr>
            <w:r w:rsidRPr="001D6211">
              <w:rPr>
                <w:rFonts w:eastAsia="Times New Roman" w:cs="Arial"/>
                <w:b/>
                <w:bCs/>
                <w:lang w:eastAsia="en-GB"/>
              </w:rPr>
              <w:t>2021/22</w:t>
            </w:r>
          </w:p>
        </w:tc>
        <w:tc>
          <w:tcPr>
            <w:tcW w:w="1413" w:type="dxa"/>
            <w:tcBorders>
              <w:top w:val="single" w:sz="4" w:space="0" w:color="auto"/>
              <w:left w:val="nil"/>
              <w:bottom w:val="nil"/>
              <w:right w:val="single" w:sz="8" w:space="0" w:color="auto"/>
            </w:tcBorders>
            <w:shd w:val="clear" w:color="000000" w:fill="BDD7EE"/>
            <w:vAlign w:val="center"/>
            <w:hideMark/>
          </w:tcPr>
          <w:p w:rsidR="000A002B" w:rsidRPr="001D6211" w:rsidP="001D6211">
            <w:pPr>
              <w:autoSpaceDE/>
              <w:autoSpaceDN/>
              <w:adjustRightInd/>
              <w:spacing w:after="0"/>
              <w:jc w:val="center"/>
              <w:rPr>
                <w:rFonts w:eastAsia="Times New Roman" w:cs="Arial"/>
                <w:b/>
                <w:bCs/>
                <w:lang w:eastAsia="en-GB"/>
              </w:rPr>
            </w:pPr>
            <w:r w:rsidRPr="001D6211">
              <w:rPr>
                <w:rFonts w:eastAsia="Times New Roman" w:cs="Arial"/>
                <w:b/>
                <w:bCs/>
                <w:lang w:eastAsia="en-GB"/>
              </w:rPr>
              <w:t>2022/23</w:t>
            </w:r>
          </w:p>
        </w:tc>
        <w:tc>
          <w:tcPr>
            <w:tcW w:w="1413" w:type="dxa"/>
            <w:tcBorders>
              <w:top w:val="single" w:sz="4" w:space="0" w:color="auto"/>
              <w:left w:val="nil"/>
              <w:bottom w:val="nil"/>
              <w:right w:val="single" w:sz="8" w:space="0" w:color="auto"/>
            </w:tcBorders>
            <w:shd w:val="clear" w:color="000000" w:fill="BDD7EE"/>
            <w:vAlign w:val="center"/>
            <w:hideMark/>
          </w:tcPr>
          <w:p w:rsidR="000A002B" w:rsidRPr="001D6211" w:rsidP="001D6211">
            <w:pPr>
              <w:autoSpaceDE/>
              <w:autoSpaceDN/>
              <w:adjustRightInd/>
              <w:spacing w:after="0"/>
              <w:jc w:val="center"/>
              <w:rPr>
                <w:rFonts w:eastAsia="Times New Roman" w:cs="Arial"/>
                <w:b/>
                <w:bCs/>
                <w:lang w:eastAsia="en-GB"/>
              </w:rPr>
            </w:pPr>
            <w:r w:rsidRPr="001D6211">
              <w:rPr>
                <w:rFonts w:eastAsia="Times New Roman" w:cs="Arial"/>
                <w:b/>
                <w:bCs/>
                <w:lang w:eastAsia="en-GB"/>
              </w:rPr>
              <w:t>2023/24</w:t>
            </w:r>
          </w:p>
        </w:tc>
        <w:tc>
          <w:tcPr>
            <w:tcW w:w="1413" w:type="dxa"/>
            <w:tcBorders>
              <w:top w:val="single" w:sz="4" w:space="0" w:color="auto"/>
              <w:left w:val="nil"/>
              <w:bottom w:val="nil"/>
              <w:right w:val="single" w:sz="4" w:space="0" w:color="auto"/>
            </w:tcBorders>
            <w:shd w:val="clear" w:color="000000" w:fill="BDD7EE"/>
            <w:vAlign w:val="center"/>
            <w:hideMark/>
          </w:tcPr>
          <w:p w:rsidR="000A002B" w:rsidRPr="001D6211" w:rsidP="001D6211">
            <w:pPr>
              <w:autoSpaceDE/>
              <w:autoSpaceDN/>
              <w:adjustRightInd/>
              <w:spacing w:after="0"/>
              <w:jc w:val="center"/>
              <w:rPr>
                <w:rFonts w:eastAsia="Times New Roman" w:cs="Arial"/>
                <w:b/>
                <w:bCs/>
                <w:lang w:eastAsia="en-GB"/>
              </w:rPr>
            </w:pPr>
            <w:r w:rsidRPr="001D6211">
              <w:rPr>
                <w:rFonts w:eastAsia="Times New Roman" w:cs="Arial"/>
                <w:b/>
                <w:bCs/>
                <w:lang w:eastAsia="en-GB"/>
              </w:rPr>
              <w:t>Total</w:t>
            </w:r>
          </w:p>
        </w:tc>
      </w:tr>
      <w:tr w:rsidTr="000A002B">
        <w:tblPrEx>
          <w:tblW w:w="9351" w:type="dxa"/>
          <w:tblLook w:val="04A0"/>
        </w:tblPrEx>
        <w:trPr>
          <w:trHeight w:val="315"/>
        </w:trPr>
        <w:tc>
          <w:tcPr>
            <w:tcW w:w="3700" w:type="dxa"/>
            <w:tcBorders>
              <w:top w:val="nil"/>
              <w:left w:val="single" w:sz="4" w:space="0" w:color="auto"/>
              <w:bottom w:val="single" w:sz="8" w:space="0" w:color="auto"/>
              <w:right w:val="single" w:sz="8" w:space="0" w:color="auto"/>
            </w:tcBorders>
            <w:shd w:val="clear" w:color="000000" w:fill="BDD7EE"/>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 </w:t>
            </w:r>
          </w:p>
        </w:tc>
        <w:tc>
          <w:tcPr>
            <w:tcW w:w="1412" w:type="dxa"/>
            <w:tcBorders>
              <w:top w:val="nil"/>
              <w:left w:val="nil"/>
              <w:bottom w:val="single" w:sz="8" w:space="0" w:color="auto"/>
              <w:right w:val="single" w:sz="8" w:space="0" w:color="auto"/>
            </w:tcBorders>
            <w:shd w:val="clear" w:color="000000" w:fill="BDD7EE"/>
            <w:vAlign w:val="center"/>
            <w:hideMark/>
          </w:tcPr>
          <w:p w:rsidR="000A002B" w:rsidRPr="001D6211" w:rsidP="001D6211">
            <w:pPr>
              <w:autoSpaceDE/>
              <w:autoSpaceDN/>
              <w:adjustRightInd/>
              <w:spacing w:after="0"/>
              <w:jc w:val="center"/>
              <w:rPr>
                <w:rFonts w:eastAsia="Times New Roman" w:cs="Arial"/>
                <w:b/>
                <w:bCs/>
                <w:lang w:eastAsia="en-GB"/>
              </w:rPr>
            </w:pPr>
            <w:r w:rsidRPr="001D6211">
              <w:rPr>
                <w:rFonts w:eastAsia="Times New Roman" w:cs="Arial"/>
                <w:b/>
                <w:bCs/>
                <w:lang w:eastAsia="en-GB"/>
              </w:rPr>
              <w:t>£m</w:t>
            </w:r>
          </w:p>
        </w:tc>
        <w:tc>
          <w:tcPr>
            <w:tcW w:w="1413" w:type="dxa"/>
            <w:tcBorders>
              <w:top w:val="nil"/>
              <w:left w:val="nil"/>
              <w:bottom w:val="single" w:sz="8" w:space="0" w:color="auto"/>
              <w:right w:val="single" w:sz="8" w:space="0" w:color="auto"/>
            </w:tcBorders>
            <w:shd w:val="clear" w:color="000000" w:fill="BDD7EE"/>
            <w:vAlign w:val="center"/>
            <w:hideMark/>
          </w:tcPr>
          <w:p w:rsidR="000A002B" w:rsidRPr="001D6211" w:rsidP="001D6211">
            <w:pPr>
              <w:autoSpaceDE/>
              <w:autoSpaceDN/>
              <w:adjustRightInd/>
              <w:spacing w:after="0"/>
              <w:jc w:val="center"/>
              <w:rPr>
                <w:rFonts w:eastAsia="Times New Roman" w:cs="Arial"/>
                <w:b/>
                <w:bCs/>
                <w:lang w:eastAsia="en-GB"/>
              </w:rPr>
            </w:pPr>
            <w:r w:rsidRPr="001D6211">
              <w:rPr>
                <w:rFonts w:eastAsia="Times New Roman" w:cs="Arial"/>
                <w:b/>
                <w:bCs/>
                <w:lang w:eastAsia="en-GB"/>
              </w:rPr>
              <w:t>£m</w:t>
            </w:r>
          </w:p>
        </w:tc>
        <w:tc>
          <w:tcPr>
            <w:tcW w:w="1413" w:type="dxa"/>
            <w:tcBorders>
              <w:top w:val="nil"/>
              <w:left w:val="nil"/>
              <w:bottom w:val="single" w:sz="8" w:space="0" w:color="auto"/>
              <w:right w:val="single" w:sz="8" w:space="0" w:color="auto"/>
            </w:tcBorders>
            <w:shd w:val="clear" w:color="000000" w:fill="BDD7EE"/>
            <w:vAlign w:val="center"/>
            <w:hideMark/>
          </w:tcPr>
          <w:p w:rsidR="000A002B" w:rsidRPr="001D6211" w:rsidP="001D6211">
            <w:pPr>
              <w:autoSpaceDE/>
              <w:autoSpaceDN/>
              <w:adjustRightInd/>
              <w:spacing w:after="0"/>
              <w:jc w:val="center"/>
              <w:rPr>
                <w:rFonts w:eastAsia="Times New Roman" w:cs="Arial"/>
                <w:b/>
                <w:bCs/>
                <w:lang w:eastAsia="en-GB"/>
              </w:rPr>
            </w:pPr>
            <w:r w:rsidRPr="001D6211">
              <w:rPr>
                <w:rFonts w:eastAsia="Times New Roman" w:cs="Arial"/>
                <w:b/>
                <w:bCs/>
                <w:lang w:eastAsia="en-GB"/>
              </w:rPr>
              <w:t>£m</w:t>
            </w:r>
          </w:p>
        </w:tc>
        <w:tc>
          <w:tcPr>
            <w:tcW w:w="1413" w:type="dxa"/>
            <w:tcBorders>
              <w:top w:val="nil"/>
              <w:left w:val="nil"/>
              <w:bottom w:val="single" w:sz="8" w:space="0" w:color="auto"/>
              <w:right w:val="single" w:sz="4" w:space="0" w:color="auto"/>
            </w:tcBorders>
            <w:shd w:val="clear" w:color="000000" w:fill="BDD7EE"/>
            <w:vAlign w:val="center"/>
            <w:hideMark/>
          </w:tcPr>
          <w:p w:rsidR="000A002B" w:rsidRPr="001D6211" w:rsidP="001D6211">
            <w:pPr>
              <w:autoSpaceDE/>
              <w:autoSpaceDN/>
              <w:adjustRightInd/>
              <w:spacing w:after="0"/>
              <w:jc w:val="center"/>
              <w:rPr>
                <w:rFonts w:eastAsia="Times New Roman" w:cs="Arial"/>
                <w:b/>
                <w:bCs/>
                <w:lang w:eastAsia="en-GB"/>
              </w:rPr>
            </w:pPr>
            <w:r w:rsidRPr="001D6211">
              <w:rPr>
                <w:rFonts w:eastAsia="Times New Roman" w:cs="Arial"/>
                <w:b/>
                <w:bCs/>
                <w:lang w:eastAsia="en-GB"/>
              </w:rPr>
              <w:t>£m</w:t>
            </w:r>
          </w:p>
        </w:tc>
      </w:tr>
      <w:tr w:rsidTr="000A002B">
        <w:tblPrEx>
          <w:tblW w:w="9351" w:type="dxa"/>
          <w:tblLook w:val="04A0"/>
        </w:tblPrEx>
        <w:trPr>
          <w:trHeight w:val="615"/>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Spending Gap as reported to Cabinet quarter 1</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52.209</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11.055</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16.042</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79.306</w:t>
            </w:r>
          </w:p>
        </w:tc>
      </w:tr>
      <w:tr w:rsidTr="000A002B">
        <w:tblPrEx>
          <w:tblW w:w="9351" w:type="dxa"/>
          <w:tblLook w:val="04A0"/>
        </w:tblPrEx>
        <w:trPr>
          <w:trHeight w:val="315"/>
        </w:trPr>
        <w:tc>
          <w:tcPr>
            <w:tcW w:w="3700" w:type="dxa"/>
            <w:tcBorders>
              <w:top w:val="nil"/>
              <w:left w:val="single" w:sz="4" w:space="0" w:color="auto"/>
              <w:bottom w:val="single" w:sz="8" w:space="0" w:color="auto"/>
              <w:right w:val="single" w:sz="8" w:space="0" w:color="auto"/>
            </w:tcBorders>
            <w:shd w:val="clear" w:color="000000" w:fill="BFBFBF"/>
            <w:vAlign w:val="center"/>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Add change to forecast of spending:</w:t>
            </w:r>
          </w:p>
        </w:tc>
        <w:tc>
          <w:tcPr>
            <w:tcW w:w="1412" w:type="dxa"/>
            <w:tcBorders>
              <w:top w:val="nil"/>
              <w:left w:val="nil"/>
              <w:bottom w:val="single" w:sz="8" w:space="0" w:color="auto"/>
              <w:right w:val="single" w:sz="8" w:space="0" w:color="auto"/>
            </w:tcBorders>
            <w:shd w:val="clear" w:color="000000" w:fill="BFBFBF"/>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3" w:type="dxa"/>
            <w:tcBorders>
              <w:top w:val="nil"/>
              <w:left w:val="nil"/>
              <w:bottom w:val="single" w:sz="8" w:space="0" w:color="auto"/>
              <w:right w:val="single" w:sz="8" w:space="0" w:color="auto"/>
            </w:tcBorders>
            <w:shd w:val="clear" w:color="000000" w:fill="BFBFBF"/>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3" w:type="dxa"/>
            <w:tcBorders>
              <w:top w:val="nil"/>
              <w:left w:val="nil"/>
              <w:bottom w:val="single" w:sz="8" w:space="0" w:color="auto"/>
              <w:right w:val="single" w:sz="8" w:space="0" w:color="auto"/>
            </w:tcBorders>
            <w:shd w:val="clear" w:color="000000" w:fill="BFBFBF"/>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3" w:type="dxa"/>
            <w:tcBorders>
              <w:top w:val="nil"/>
              <w:left w:val="nil"/>
              <w:bottom w:val="single" w:sz="8" w:space="0" w:color="auto"/>
              <w:right w:val="single" w:sz="4" w:space="0" w:color="auto"/>
            </w:tcBorders>
            <w:shd w:val="clear" w:color="000000" w:fill="BFBFBF"/>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r>
      <w:tr w:rsidTr="000A002B">
        <w:tblPrEx>
          <w:tblW w:w="9351" w:type="dxa"/>
          <w:tblLook w:val="04A0"/>
        </w:tblPrEx>
        <w:trPr>
          <w:trHeight w:val="315"/>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Pay &amp; Pensions</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1.599</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0.657</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-0.159</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2.097</w:t>
            </w:r>
          </w:p>
        </w:tc>
      </w:tr>
      <w:tr w:rsidTr="000A002B">
        <w:tblPrEx>
          <w:tblW w:w="9351" w:type="dxa"/>
          <w:tblLook w:val="04A0"/>
        </w:tblPrEx>
        <w:trPr>
          <w:trHeight w:val="405"/>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Inflation and Cost Changes</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Pr>
                <w:rFonts w:eastAsia="Times New Roman" w:cs="Arial"/>
                <w:lang w:eastAsia="en-GB"/>
              </w:rPr>
              <w:t>-0.014</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-0.043</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Pr>
                <w:rFonts w:eastAsia="Times New Roman" w:cs="Arial"/>
                <w:lang w:eastAsia="en-GB"/>
              </w:rPr>
              <w:t>-0.018</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A5032E">
              <w:rPr>
                <w:rFonts w:eastAsia="Times New Roman" w:cs="Arial"/>
                <w:b/>
                <w:bCs/>
                <w:lang w:eastAsia="en-GB"/>
              </w:rPr>
              <w:t>-0.075</w:t>
            </w:r>
          </w:p>
        </w:tc>
      </w:tr>
      <w:tr w:rsidTr="000A002B">
        <w:tblPrEx>
          <w:tblW w:w="9351" w:type="dxa"/>
          <w:tblLook w:val="04A0"/>
        </w:tblPrEx>
        <w:trPr>
          <w:trHeight w:val="615"/>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Service Demand and Volume Pressures</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0.432</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0.514</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0.635</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1.581</w:t>
            </w:r>
          </w:p>
        </w:tc>
      </w:tr>
      <w:tr w:rsidTr="000A002B">
        <w:tblPrEx>
          <w:tblW w:w="9351" w:type="dxa"/>
          <w:tblLook w:val="04A0"/>
        </w:tblPrEx>
        <w:trPr>
          <w:trHeight w:val="315"/>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Additional Grant</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-0.366</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-0.525</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0.118</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-0.773</w:t>
            </w:r>
          </w:p>
        </w:tc>
      </w:tr>
      <w:tr w:rsidTr="000A002B">
        <w:tblPrEx>
          <w:tblW w:w="9351" w:type="dxa"/>
          <w:tblLook w:val="04A0"/>
        </w:tblPrEx>
        <w:trPr>
          <w:trHeight w:val="630"/>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color w:val="auto"/>
                <w:lang w:eastAsia="en-GB"/>
              </w:rPr>
            </w:pPr>
            <w:r w:rsidRPr="001D6211">
              <w:rPr>
                <w:rFonts w:eastAsia="Times New Roman" w:cs="Arial"/>
                <w:color w:val="auto"/>
                <w:lang w:eastAsia="en-GB"/>
              </w:rPr>
              <w:t>Re</w:t>
            </w:r>
            <w:r>
              <w:rPr>
                <w:rFonts w:eastAsia="Times New Roman" w:cs="Arial"/>
                <w:color w:val="auto"/>
                <w:lang w:eastAsia="en-GB"/>
              </w:rPr>
              <w:t>-</w:t>
            </w:r>
            <w:r w:rsidRPr="001D6211">
              <w:rPr>
                <w:rFonts w:eastAsia="Times New Roman" w:cs="Arial"/>
                <w:color w:val="auto"/>
                <w:lang w:eastAsia="en-GB"/>
              </w:rPr>
              <w:t>profiled Savings</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2.631</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-0.361</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-0.689</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1.581</w:t>
            </w:r>
          </w:p>
        </w:tc>
      </w:tr>
      <w:tr w:rsidTr="000A002B">
        <w:tblPrEx>
          <w:tblW w:w="9351" w:type="dxa"/>
          <w:tblLook w:val="04A0"/>
        </w:tblPrEx>
        <w:trPr>
          <w:trHeight w:val="585"/>
        </w:trPr>
        <w:tc>
          <w:tcPr>
            <w:tcW w:w="3700" w:type="dxa"/>
            <w:tcBorders>
              <w:top w:val="nil"/>
              <w:left w:val="single" w:sz="4" w:space="0" w:color="auto"/>
              <w:bottom w:val="single" w:sz="8" w:space="0" w:color="auto"/>
              <w:right w:val="single" w:sz="8" w:space="0" w:color="auto"/>
            </w:tcBorders>
            <w:shd w:val="clear" w:color="000000" w:fill="D9D9D9"/>
            <w:vAlign w:val="center"/>
            <w:hideMark/>
          </w:tcPr>
          <w:p w:rsidR="000A002B"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Total Change to Forecast of Spending</w:t>
            </w:r>
          </w:p>
        </w:tc>
        <w:tc>
          <w:tcPr>
            <w:tcW w:w="1412" w:type="dxa"/>
            <w:tcBorders>
              <w:top w:val="nil"/>
              <w:left w:val="nil"/>
              <w:bottom w:val="single" w:sz="8"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4.282</w:t>
            </w:r>
          </w:p>
        </w:tc>
        <w:tc>
          <w:tcPr>
            <w:tcW w:w="1413" w:type="dxa"/>
            <w:tcBorders>
              <w:top w:val="nil"/>
              <w:left w:val="nil"/>
              <w:bottom w:val="single" w:sz="8"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0.242</w:t>
            </w:r>
          </w:p>
        </w:tc>
        <w:tc>
          <w:tcPr>
            <w:tcW w:w="1413" w:type="dxa"/>
            <w:tcBorders>
              <w:top w:val="nil"/>
              <w:left w:val="nil"/>
              <w:bottom w:val="single" w:sz="8"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Pr>
                <w:rFonts w:eastAsia="Times New Roman" w:cs="Arial"/>
                <w:b/>
                <w:bCs/>
                <w:lang w:eastAsia="en-GB"/>
              </w:rPr>
              <w:t>-0.113</w:t>
            </w:r>
          </w:p>
        </w:tc>
        <w:tc>
          <w:tcPr>
            <w:tcW w:w="1413" w:type="dxa"/>
            <w:tcBorders>
              <w:top w:val="nil"/>
              <w:left w:val="nil"/>
              <w:bottom w:val="single" w:sz="8" w:space="0" w:color="auto"/>
              <w:right w:val="single" w:sz="4"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4.411</w:t>
            </w:r>
          </w:p>
        </w:tc>
      </w:tr>
      <w:tr w:rsidTr="000A002B">
        <w:tblPrEx>
          <w:tblW w:w="9351" w:type="dxa"/>
          <w:tblLook w:val="04A0"/>
        </w:tblPrEx>
        <w:trPr>
          <w:trHeight w:val="480"/>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 </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 </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 </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 </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 </w:t>
            </w:r>
          </w:p>
        </w:tc>
      </w:tr>
      <w:tr w:rsidTr="000A002B">
        <w:tblPrEx>
          <w:tblW w:w="9351" w:type="dxa"/>
          <w:tblLook w:val="04A0"/>
        </w:tblPrEx>
        <w:trPr>
          <w:trHeight w:val="345"/>
        </w:trPr>
        <w:tc>
          <w:tcPr>
            <w:tcW w:w="3700" w:type="dxa"/>
            <w:tcBorders>
              <w:top w:val="nil"/>
              <w:left w:val="single" w:sz="4" w:space="0" w:color="auto"/>
              <w:bottom w:val="single" w:sz="8" w:space="0" w:color="auto"/>
              <w:right w:val="single" w:sz="8" w:space="0" w:color="auto"/>
            </w:tcBorders>
            <w:shd w:val="clear" w:color="000000" w:fill="BFBFBF"/>
            <w:vAlign w:val="center"/>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Change to forecast of resources:</w:t>
            </w:r>
          </w:p>
        </w:tc>
        <w:tc>
          <w:tcPr>
            <w:tcW w:w="1412" w:type="dxa"/>
            <w:tcBorders>
              <w:top w:val="nil"/>
              <w:left w:val="nil"/>
              <w:bottom w:val="single" w:sz="8" w:space="0" w:color="auto"/>
              <w:right w:val="single" w:sz="8" w:space="0" w:color="auto"/>
            </w:tcBorders>
            <w:shd w:val="clear" w:color="000000" w:fill="BFBFBF"/>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3" w:type="dxa"/>
            <w:tcBorders>
              <w:top w:val="nil"/>
              <w:left w:val="nil"/>
              <w:bottom w:val="single" w:sz="8" w:space="0" w:color="auto"/>
              <w:right w:val="single" w:sz="8" w:space="0" w:color="auto"/>
            </w:tcBorders>
            <w:shd w:val="clear" w:color="000000" w:fill="BFBFBF"/>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3" w:type="dxa"/>
            <w:tcBorders>
              <w:top w:val="nil"/>
              <w:left w:val="nil"/>
              <w:bottom w:val="single" w:sz="8" w:space="0" w:color="auto"/>
              <w:right w:val="single" w:sz="8" w:space="0" w:color="auto"/>
            </w:tcBorders>
            <w:shd w:val="clear" w:color="000000" w:fill="BFBFBF"/>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3" w:type="dxa"/>
            <w:tcBorders>
              <w:top w:val="nil"/>
              <w:left w:val="nil"/>
              <w:bottom w:val="single" w:sz="8" w:space="0" w:color="auto"/>
              <w:right w:val="single" w:sz="4" w:space="0" w:color="auto"/>
            </w:tcBorders>
            <w:shd w:val="clear" w:color="000000" w:fill="BFBFBF"/>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r>
      <w:tr w:rsidTr="000A002B">
        <w:tblPrEx>
          <w:tblW w:w="9351" w:type="dxa"/>
          <w:tblLook w:val="04A0"/>
        </w:tblPrEx>
        <w:trPr>
          <w:trHeight w:val="345"/>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Funding</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-6.123</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1.889</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-0.692</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-4.926</w:t>
            </w:r>
          </w:p>
        </w:tc>
      </w:tr>
      <w:tr w:rsidTr="000A002B">
        <w:tblPrEx>
          <w:tblW w:w="9351" w:type="dxa"/>
          <w:tblLook w:val="04A0"/>
        </w:tblPrEx>
        <w:trPr>
          <w:trHeight w:val="585"/>
        </w:trPr>
        <w:tc>
          <w:tcPr>
            <w:tcW w:w="3700" w:type="dxa"/>
            <w:tcBorders>
              <w:top w:val="nil"/>
              <w:left w:val="single" w:sz="4" w:space="0" w:color="auto"/>
              <w:bottom w:val="single" w:sz="8" w:space="0" w:color="auto"/>
              <w:right w:val="single" w:sz="8" w:space="0" w:color="auto"/>
            </w:tcBorders>
            <w:shd w:val="clear" w:color="000000" w:fill="D9D9D9"/>
            <w:vAlign w:val="center"/>
            <w:hideMark/>
          </w:tcPr>
          <w:p w:rsidR="000A002B"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Total Change to Forecast of Resources</w:t>
            </w:r>
          </w:p>
        </w:tc>
        <w:tc>
          <w:tcPr>
            <w:tcW w:w="1412" w:type="dxa"/>
            <w:tcBorders>
              <w:top w:val="single" w:sz="8" w:space="0" w:color="auto"/>
              <w:left w:val="nil"/>
              <w:bottom w:val="single" w:sz="8"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-6.123</w:t>
            </w:r>
          </w:p>
        </w:tc>
        <w:tc>
          <w:tcPr>
            <w:tcW w:w="1413" w:type="dxa"/>
            <w:tcBorders>
              <w:top w:val="single" w:sz="8" w:space="0" w:color="auto"/>
              <w:left w:val="nil"/>
              <w:bottom w:val="single" w:sz="8"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1.889</w:t>
            </w:r>
          </w:p>
        </w:tc>
        <w:tc>
          <w:tcPr>
            <w:tcW w:w="1413" w:type="dxa"/>
            <w:tcBorders>
              <w:top w:val="single" w:sz="8" w:space="0" w:color="auto"/>
              <w:left w:val="nil"/>
              <w:bottom w:val="single" w:sz="8"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-0.692</w:t>
            </w:r>
          </w:p>
        </w:tc>
        <w:tc>
          <w:tcPr>
            <w:tcW w:w="1413" w:type="dxa"/>
            <w:tcBorders>
              <w:top w:val="nil"/>
              <w:left w:val="nil"/>
              <w:bottom w:val="single" w:sz="8" w:space="0" w:color="auto"/>
              <w:right w:val="single" w:sz="4"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-4.926</w:t>
            </w:r>
          </w:p>
        </w:tc>
      </w:tr>
      <w:tr w:rsidTr="000A002B">
        <w:tblPrEx>
          <w:tblW w:w="9351" w:type="dxa"/>
          <w:tblLook w:val="04A0"/>
        </w:tblPrEx>
        <w:trPr>
          <w:trHeight w:val="375"/>
        </w:trPr>
        <w:tc>
          <w:tcPr>
            <w:tcW w:w="3700" w:type="dxa"/>
            <w:tcBorders>
              <w:top w:val="nil"/>
              <w:left w:val="single" w:sz="4" w:space="0" w:color="auto"/>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left"/>
              <w:rPr>
                <w:rFonts w:eastAsia="Times New Roman" w:cs="Arial"/>
                <w:lang w:eastAsia="en-GB"/>
              </w:rPr>
            </w:pPr>
            <w:r w:rsidRPr="001D6211">
              <w:rPr>
                <w:rFonts w:eastAsia="Times New Roman" w:cs="Arial"/>
                <w:lang w:eastAsia="en-GB"/>
              </w:rPr>
              <w:t> </w:t>
            </w:r>
          </w:p>
        </w:tc>
        <w:tc>
          <w:tcPr>
            <w:tcW w:w="1412"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 </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 </w:t>
            </w:r>
          </w:p>
        </w:tc>
        <w:tc>
          <w:tcPr>
            <w:tcW w:w="1413" w:type="dxa"/>
            <w:tcBorders>
              <w:top w:val="nil"/>
              <w:left w:val="nil"/>
              <w:bottom w:val="single" w:sz="8" w:space="0" w:color="auto"/>
              <w:right w:val="single" w:sz="8"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 </w:t>
            </w:r>
          </w:p>
        </w:tc>
        <w:tc>
          <w:tcPr>
            <w:tcW w:w="1413" w:type="dxa"/>
            <w:tcBorders>
              <w:top w:val="nil"/>
              <w:left w:val="nil"/>
              <w:bottom w:val="single" w:sz="8" w:space="0" w:color="auto"/>
              <w:right w:val="single" w:sz="4" w:space="0" w:color="auto"/>
            </w:tcBorders>
            <w:shd w:val="clear" w:color="auto" w:fill="auto"/>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 </w:t>
            </w:r>
          </w:p>
        </w:tc>
      </w:tr>
      <w:tr w:rsidTr="000A002B">
        <w:tblPrEx>
          <w:tblW w:w="9351" w:type="dxa"/>
          <w:tblLook w:val="04A0"/>
        </w:tblPrEx>
        <w:trPr>
          <w:trHeight w:val="330"/>
        </w:trPr>
        <w:tc>
          <w:tcPr>
            <w:tcW w:w="3700" w:type="dxa"/>
            <w:tcBorders>
              <w:top w:val="nil"/>
              <w:left w:val="single" w:sz="4" w:space="0" w:color="auto"/>
              <w:bottom w:val="single" w:sz="4" w:space="0" w:color="auto"/>
              <w:right w:val="single" w:sz="8" w:space="0" w:color="auto"/>
            </w:tcBorders>
            <w:shd w:val="clear" w:color="000000" w:fill="BFBFBF"/>
            <w:vAlign w:val="center"/>
            <w:hideMark/>
          </w:tcPr>
          <w:p w:rsidR="000A002B"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Funding Gap</w:t>
            </w:r>
          </w:p>
        </w:tc>
        <w:tc>
          <w:tcPr>
            <w:tcW w:w="1412" w:type="dxa"/>
            <w:tcBorders>
              <w:top w:val="nil"/>
              <w:left w:val="nil"/>
              <w:bottom w:val="single" w:sz="4"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50.368</w:t>
            </w:r>
          </w:p>
        </w:tc>
        <w:tc>
          <w:tcPr>
            <w:tcW w:w="1413" w:type="dxa"/>
            <w:tcBorders>
              <w:top w:val="nil"/>
              <w:left w:val="nil"/>
              <w:bottom w:val="single" w:sz="4"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13.186</w:t>
            </w:r>
          </w:p>
        </w:tc>
        <w:tc>
          <w:tcPr>
            <w:tcW w:w="1413" w:type="dxa"/>
            <w:tcBorders>
              <w:top w:val="nil"/>
              <w:left w:val="nil"/>
              <w:bottom w:val="single" w:sz="4" w:space="0" w:color="auto"/>
              <w:right w:val="single" w:sz="8"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Pr>
                <w:rFonts w:eastAsia="Times New Roman" w:cs="Arial"/>
                <w:b/>
                <w:bCs/>
                <w:lang w:eastAsia="en-GB"/>
              </w:rPr>
              <w:t>15.237</w:t>
            </w:r>
          </w:p>
        </w:tc>
        <w:tc>
          <w:tcPr>
            <w:tcW w:w="1413" w:type="dxa"/>
            <w:tcBorders>
              <w:top w:val="nil"/>
              <w:left w:val="nil"/>
              <w:bottom w:val="single" w:sz="4" w:space="0" w:color="auto"/>
              <w:right w:val="single" w:sz="4" w:space="0" w:color="auto"/>
            </w:tcBorders>
            <w:shd w:val="clear" w:color="000000" w:fill="D9D9D9"/>
            <w:vAlign w:val="center"/>
            <w:hideMark/>
          </w:tcPr>
          <w:p w:rsidR="000A002B" w:rsidRPr="001D6211" w:rsidP="001D6211">
            <w:pPr>
              <w:autoSpaceDE/>
              <w:autoSpaceDN/>
              <w:adjustRightInd/>
              <w:spacing w:after="0"/>
              <w:jc w:val="right"/>
              <w:rPr>
                <w:rFonts w:eastAsia="Times New Roman" w:cs="Arial"/>
                <w:b/>
                <w:bCs/>
                <w:lang w:eastAsia="en-GB"/>
              </w:rPr>
            </w:pPr>
            <w:r w:rsidRPr="00A5032E">
              <w:rPr>
                <w:rFonts w:eastAsia="Times New Roman" w:cs="Arial"/>
                <w:b/>
                <w:bCs/>
                <w:lang w:eastAsia="en-GB"/>
              </w:rPr>
              <w:t>78.791</w:t>
            </w:r>
          </w:p>
        </w:tc>
      </w:tr>
    </w:tbl>
    <w:p w:rsidR="006D0EDA" w:rsidRPr="00E95F45" w:rsidP="006D0EDA">
      <w:pPr>
        <w:spacing w:after="0"/>
        <w:rPr>
          <w:rFonts w:cs="Arial"/>
          <w:highlight w:val="yellow"/>
        </w:rPr>
      </w:pPr>
    </w:p>
    <w:tbl>
      <w:tblPr>
        <w:tblW w:w="9346" w:type="dxa"/>
        <w:tblLook w:val="04A0"/>
      </w:tblPr>
      <w:tblGrid>
        <w:gridCol w:w="5093"/>
        <w:gridCol w:w="1417"/>
        <w:gridCol w:w="1418"/>
        <w:gridCol w:w="1418"/>
      </w:tblGrid>
      <w:tr w:rsidTr="000A002B">
        <w:tblPrEx>
          <w:tblW w:w="9346" w:type="dxa"/>
          <w:tblLook w:val="04A0"/>
        </w:tblPrEx>
        <w:trPr>
          <w:trHeight w:val="480"/>
        </w:trPr>
        <w:tc>
          <w:tcPr>
            <w:tcW w:w="509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Aggregated Funding Gap</w:t>
            </w:r>
          </w:p>
        </w:tc>
        <w:tc>
          <w:tcPr>
            <w:tcW w:w="1417" w:type="dxa"/>
            <w:tcBorders>
              <w:top w:val="single" w:sz="8" w:space="0" w:color="auto"/>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2021/22</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2022/23</w:t>
            </w:r>
          </w:p>
        </w:tc>
        <w:tc>
          <w:tcPr>
            <w:tcW w:w="1418" w:type="dxa"/>
            <w:tcBorders>
              <w:top w:val="single" w:sz="8" w:space="0" w:color="auto"/>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2023/24</w:t>
            </w:r>
          </w:p>
        </w:tc>
      </w:tr>
      <w:tr w:rsidTr="000A002B">
        <w:tblPrEx>
          <w:tblW w:w="9346" w:type="dxa"/>
          <w:tblLook w:val="04A0"/>
        </w:tblPrEx>
        <w:trPr>
          <w:trHeight w:val="34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2021/22 (£m)</w:t>
            </w:r>
          </w:p>
        </w:tc>
        <w:tc>
          <w:tcPr>
            <w:tcW w:w="1417"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50.368</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50.368</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50.368</w:t>
            </w:r>
          </w:p>
        </w:tc>
      </w:tr>
      <w:tr w:rsidTr="000A002B">
        <w:tblPrEx>
          <w:tblW w:w="9346" w:type="dxa"/>
          <w:tblLook w:val="04A0"/>
        </w:tblPrEx>
        <w:trPr>
          <w:trHeight w:val="34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2022/23 (£m)</w:t>
            </w:r>
          </w:p>
        </w:tc>
        <w:tc>
          <w:tcPr>
            <w:tcW w:w="1417"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13.186</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13.186</w:t>
            </w:r>
          </w:p>
        </w:tc>
      </w:tr>
      <w:tr w:rsidTr="000A002B">
        <w:tblPrEx>
          <w:tblW w:w="9346" w:type="dxa"/>
          <w:tblLook w:val="04A0"/>
        </w:tblPrEx>
        <w:trPr>
          <w:trHeight w:val="4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2023/24 (£m)</w:t>
            </w:r>
          </w:p>
        </w:tc>
        <w:tc>
          <w:tcPr>
            <w:tcW w:w="1417"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A5032E">
            <w:pPr>
              <w:autoSpaceDE/>
              <w:autoSpaceDN/>
              <w:adjustRightInd/>
              <w:spacing w:after="0"/>
              <w:jc w:val="right"/>
              <w:rPr>
                <w:rFonts w:eastAsia="Times New Roman" w:cs="Arial"/>
                <w:lang w:eastAsia="en-GB"/>
              </w:rPr>
            </w:pPr>
            <w:r w:rsidRPr="001D6211">
              <w:rPr>
                <w:rFonts w:eastAsia="Times New Roman" w:cs="Arial"/>
                <w:lang w:eastAsia="en-GB"/>
              </w:rPr>
              <w:t>15.23</w:t>
            </w:r>
            <w:r w:rsidR="00A5032E">
              <w:rPr>
                <w:rFonts w:eastAsia="Times New Roman" w:cs="Arial"/>
                <w:lang w:eastAsia="en-GB"/>
              </w:rPr>
              <w:t>7</w:t>
            </w:r>
          </w:p>
        </w:tc>
      </w:tr>
      <w:tr w:rsidTr="000A002B">
        <w:tblPrEx>
          <w:tblW w:w="9346" w:type="dxa"/>
          <w:tblLook w:val="04A0"/>
        </w:tblPrEx>
        <w:trPr>
          <w:trHeight w:val="40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2024/25 (£m)</w:t>
            </w:r>
          </w:p>
        </w:tc>
        <w:tc>
          <w:tcPr>
            <w:tcW w:w="1417"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r>
      <w:tr w:rsidTr="000A002B">
        <w:tblPrEx>
          <w:tblW w:w="9346" w:type="dxa"/>
          <w:tblLook w:val="04A0"/>
        </w:tblPrEx>
        <w:trPr>
          <w:trHeight w:val="330"/>
        </w:trPr>
        <w:tc>
          <w:tcPr>
            <w:tcW w:w="5093" w:type="dxa"/>
            <w:tcBorders>
              <w:top w:val="nil"/>
              <w:left w:val="single" w:sz="8" w:space="0" w:color="auto"/>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 xml:space="preserve">Total </w:t>
            </w:r>
          </w:p>
        </w:tc>
        <w:tc>
          <w:tcPr>
            <w:tcW w:w="1417" w:type="dxa"/>
            <w:tcBorders>
              <w:top w:val="nil"/>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50.368</w:t>
            </w:r>
          </w:p>
        </w:tc>
        <w:tc>
          <w:tcPr>
            <w:tcW w:w="1418" w:type="dxa"/>
            <w:tcBorders>
              <w:top w:val="nil"/>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63.554</w:t>
            </w:r>
          </w:p>
        </w:tc>
        <w:tc>
          <w:tcPr>
            <w:tcW w:w="1418" w:type="dxa"/>
            <w:tcBorders>
              <w:top w:val="nil"/>
              <w:left w:val="nil"/>
              <w:bottom w:val="single" w:sz="8" w:space="0" w:color="auto"/>
              <w:right w:val="single" w:sz="8" w:space="0" w:color="auto"/>
            </w:tcBorders>
            <w:shd w:val="clear" w:color="000000" w:fill="BFBFBF"/>
            <w:vAlign w:val="center"/>
            <w:hideMark/>
          </w:tcPr>
          <w:p w:rsidR="001D6211" w:rsidRPr="001D6211" w:rsidP="00A5032E">
            <w:pPr>
              <w:autoSpaceDE/>
              <w:autoSpaceDN/>
              <w:adjustRightInd/>
              <w:spacing w:after="0"/>
              <w:jc w:val="right"/>
              <w:rPr>
                <w:rFonts w:eastAsia="Times New Roman" w:cs="Arial"/>
                <w:b/>
                <w:bCs/>
                <w:lang w:eastAsia="en-GB"/>
              </w:rPr>
            </w:pPr>
            <w:r w:rsidRPr="001D6211">
              <w:rPr>
                <w:rFonts w:eastAsia="Times New Roman" w:cs="Arial"/>
                <w:b/>
                <w:bCs/>
                <w:lang w:eastAsia="en-GB"/>
              </w:rPr>
              <w:t>78.79</w:t>
            </w:r>
            <w:r w:rsidR="00A5032E">
              <w:rPr>
                <w:rFonts w:eastAsia="Times New Roman" w:cs="Arial"/>
                <w:b/>
                <w:bCs/>
                <w:lang w:eastAsia="en-GB"/>
              </w:rPr>
              <w:t>1</w:t>
            </w:r>
          </w:p>
        </w:tc>
      </w:tr>
      <w:tr w:rsidTr="000A002B">
        <w:tblPrEx>
          <w:tblW w:w="9346" w:type="dxa"/>
          <w:tblLook w:val="04A0"/>
        </w:tblPrEx>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 </w:t>
            </w:r>
          </w:p>
        </w:tc>
        <w:tc>
          <w:tcPr>
            <w:tcW w:w="1417"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c>
          <w:tcPr>
            <w:tcW w:w="1418" w:type="dxa"/>
            <w:tcBorders>
              <w:top w:val="nil"/>
              <w:left w:val="nil"/>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right"/>
              <w:rPr>
                <w:rFonts w:eastAsia="Times New Roman" w:cs="Arial"/>
                <w:lang w:eastAsia="en-GB"/>
              </w:rPr>
            </w:pPr>
            <w:r w:rsidRPr="001D6211">
              <w:rPr>
                <w:rFonts w:eastAsia="Times New Roman" w:cs="Arial"/>
                <w:lang w:eastAsia="en-GB"/>
              </w:rPr>
              <w:t> </w:t>
            </w:r>
          </w:p>
        </w:tc>
      </w:tr>
      <w:tr w:rsidTr="000A002B">
        <w:tblPrEx>
          <w:tblW w:w="9346" w:type="dxa"/>
          <w:tblLook w:val="04A0"/>
        </w:tblPrEx>
        <w:trPr>
          <w:trHeight w:val="37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Previous position (£m)</w:t>
            </w:r>
          </w:p>
        </w:tc>
        <w:tc>
          <w:tcPr>
            <w:tcW w:w="1417" w:type="dxa"/>
            <w:tcBorders>
              <w:top w:val="nil"/>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52.209</w:t>
            </w:r>
          </w:p>
        </w:tc>
        <w:tc>
          <w:tcPr>
            <w:tcW w:w="1418" w:type="dxa"/>
            <w:tcBorders>
              <w:top w:val="nil"/>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63.264</w:t>
            </w:r>
          </w:p>
        </w:tc>
        <w:tc>
          <w:tcPr>
            <w:tcW w:w="1418" w:type="dxa"/>
            <w:tcBorders>
              <w:top w:val="nil"/>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79.306</w:t>
            </w:r>
          </w:p>
        </w:tc>
      </w:tr>
      <w:tr w:rsidTr="000A002B">
        <w:tblPrEx>
          <w:tblW w:w="9346" w:type="dxa"/>
          <w:tblLook w:val="04A0"/>
        </w:tblPrEx>
        <w:trPr>
          <w:trHeight w:val="360"/>
        </w:trPr>
        <w:tc>
          <w:tcPr>
            <w:tcW w:w="5093" w:type="dxa"/>
            <w:tcBorders>
              <w:top w:val="nil"/>
              <w:left w:val="single" w:sz="8" w:space="0" w:color="auto"/>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left"/>
              <w:rPr>
                <w:rFonts w:eastAsia="Times New Roman" w:cs="Arial"/>
                <w:b/>
                <w:bCs/>
                <w:lang w:eastAsia="en-GB"/>
              </w:rPr>
            </w:pPr>
            <w:r w:rsidRPr="001D6211">
              <w:rPr>
                <w:rFonts w:eastAsia="Times New Roman" w:cs="Arial"/>
                <w:b/>
                <w:bCs/>
                <w:lang w:eastAsia="en-GB"/>
              </w:rPr>
              <w:t>Variance (£m)</w:t>
            </w:r>
          </w:p>
        </w:tc>
        <w:tc>
          <w:tcPr>
            <w:tcW w:w="1417" w:type="dxa"/>
            <w:tcBorders>
              <w:top w:val="nil"/>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-1.841</w:t>
            </w:r>
          </w:p>
        </w:tc>
        <w:tc>
          <w:tcPr>
            <w:tcW w:w="1418" w:type="dxa"/>
            <w:tcBorders>
              <w:top w:val="nil"/>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1D6211">
              <w:rPr>
                <w:rFonts w:eastAsia="Times New Roman" w:cs="Arial"/>
                <w:b/>
                <w:bCs/>
                <w:lang w:eastAsia="en-GB"/>
              </w:rPr>
              <w:t>0.290</w:t>
            </w:r>
          </w:p>
        </w:tc>
        <w:tc>
          <w:tcPr>
            <w:tcW w:w="1418" w:type="dxa"/>
            <w:tcBorders>
              <w:top w:val="nil"/>
              <w:left w:val="nil"/>
              <w:bottom w:val="single" w:sz="8" w:space="0" w:color="auto"/>
              <w:right w:val="single" w:sz="8" w:space="0" w:color="auto"/>
            </w:tcBorders>
            <w:shd w:val="clear" w:color="000000" w:fill="BFBFBF"/>
            <w:vAlign w:val="center"/>
            <w:hideMark/>
          </w:tcPr>
          <w:p w:rsidR="001D6211" w:rsidRPr="001D6211" w:rsidP="001D6211">
            <w:pPr>
              <w:autoSpaceDE/>
              <w:autoSpaceDN/>
              <w:adjustRightInd/>
              <w:spacing w:after="0"/>
              <w:jc w:val="right"/>
              <w:rPr>
                <w:rFonts w:eastAsia="Times New Roman" w:cs="Arial"/>
                <w:b/>
                <w:bCs/>
                <w:lang w:eastAsia="en-GB"/>
              </w:rPr>
            </w:pPr>
            <w:r w:rsidRPr="00A5032E">
              <w:rPr>
                <w:rFonts w:eastAsia="Times New Roman" w:cs="Arial"/>
                <w:b/>
                <w:bCs/>
                <w:lang w:eastAsia="en-GB"/>
              </w:rPr>
              <w:t>-0.515</w:t>
            </w:r>
          </w:p>
        </w:tc>
      </w:tr>
    </w:tbl>
    <w:p w:rsidR="006D0EDA" w:rsidRPr="00E95F45" w:rsidP="006D0EDA">
      <w:pPr>
        <w:spacing w:after="0"/>
        <w:rPr>
          <w:rFonts w:cs="Arial"/>
          <w:highlight w:val="yellow"/>
        </w:rPr>
      </w:pPr>
    </w:p>
    <w:p w:rsidR="00B03828" w:rsidP="006D0EDA">
      <w:pPr>
        <w:spacing w:after="0"/>
        <w:rPr>
          <w:rFonts w:cs="Arial"/>
        </w:rPr>
      </w:pPr>
    </w:p>
    <w:p w:rsidR="00B03828" w:rsidP="006D0EDA">
      <w:pPr>
        <w:spacing w:after="0"/>
        <w:rPr>
          <w:rFonts w:cs="Arial"/>
        </w:rPr>
      </w:pPr>
    </w:p>
    <w:p w:rsidR="006D0EDA" w:rsidRPr="001D6211" w:rsidP="006D0EDA">
      <w:pPr>
        <w:spacing w:after="0"/>
        <w:rPr>
          <w:rFonts w:cs="Arial"/>
        </w:rPr>
      </w:pPr>
      <w:r w:rsidRPr="001D6211">
        <w:rPr>
          <w:rFonts w:cs="Arial"/>
        </w:rPr>
        <w:t>The graph below demonstrates the drivers that make up the changes in the financial surplus of £1.358m carried forward from 2020/21 to the cumulative position of £</w:t>
      </w:r>
      <w:r w:rsidRPr="001D6211" w:rsidR="001D6211">
        <w:rPr>
          <w:rFonts w:cs="Arial"/>
        </w:rPr>
        <w:t>78.79</w:t>
      </w:r>
      <w:r w:rsidR="00A5032E">
        <w:rPr>
          <w:rFonts w:cs="Arial"/>
        </w:rPr>
        <w:t>1</w:t>
      </w:r>
      <w:r w:rsidRPr="001D6211">
        <w:rPr>
          <w:rFonts w:cs="Arial"/>
        </w:rPr>
        <w:t xml:space="preserve">m in the financial year 2023/24 shown in the table above: </w:t>
      </w:r>
    </w:p>
    <w:p w:rsidR="001D6211" w:rsidP="006D0EDA">
      <w:pPr>
        <w:spacing w:after="0"/>
        <w:rPr>
          <w:rFonts w:cs="Arial"/>
          <w:highlight w:val="yellow"/>
        </w:rPr>
      </w:pPr>
    </w:p>
    <w:p w:rsidR="001D6211" w:rsidP="006D0EDA">
      <w:pPr>
        <w:spacing w:after="0"/>
        <w:rPr>
          <w:rFonts w:cs="Arial"/>
          <w:highlight w:val="yellow"/>
        </w:rPr>
      </w:pPr>
    </w:p>
    <w:p w:rsidR="001D6211" w:rsidRPr="001D6211" w:rsidP="006D0EDA">
      <w:pPr>
        <w:spacing w:after="0"/>
        <w:rPr>
          <w:rFonts w:cs="Arial"/>
        </w:rPr>
      </w:pPr>
      <w:r w:rsidRPr="001D6211">
        <w:rPr>
          <w:rFonts w:cs="Arial"/>
          <w:noProof/>
          <w:lang w:eastAsia="en-GB"/>
        </w:rPr>
        <w:drawing>
          <wp:inline distT="0" distB="0" distL="0" distR="0">
            <wp:extent cx="6145530" cy="4170045"/>
            <wp:effectExtent l="0" t="0" r="762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4448"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145530" cy="4170045"/>
                    </a:xfrm>
                    <a:prstGeom prst="rect">
                      <a:avLst/>
                    </a:prstGeom>
                    <a:noFill/>
                  </pic:spPr>
                </pic:pic>
              </a:graphicData>
            </a:graphic>
          </wp:inline>
        </w:drawing>
      </w:r>
    </w:p>
    <w:p w:rsidR="006D0EDA" w:rsidRPr="001D6211" w:rsidP="006D0EDA">
      <w:pPr>
        <w:spacing w:after="0"/>
        <w:rPr>
          <w:rFonts w:cs="Arial"/>
        </w:rPr>
      </w:pPr>
    </w:p>
    <w:p w:rsidR="006D0EDA"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P="00843D18">
      <w:pPr>
        <w:spacing w:after="0"/>
        <w:jc w:val="center"/>
        <w:rPr>
          <w:rFonts w:cs="Arial"/>
        </w:rPr>
      </w:pPr>
    </w:p>
    <w:p w:rsidR="008A176B" w:rsidRPr="001D6211" w:rsidP="00843D18">
      <w:pPr>
        <w:spacing w:after="0"/>
        <w:jc w:val="center"/>
        <w:rPr>
          <w:rFonts w:cs="Arial"/>
        </w:rPr>
      </w:pPr>
    </w:p>
    <w:p w:rsidR="006D0EDA" w:rsidRPr="001D6211" w:rsidP="006D0EDA">
      <w:pPr>
        <w:tabs>
          <w:tab w:val="left" w:pos="567"/>
          <w:tab w:val="left" w:pos="1134"/>
        </w:tabs>
        <w:spacing w:after="0"/>
        <w:rPr>
          <w:rFonts w:cs="Arial"/>
          <w:b/>
        </w:rPr>
      </w:pPr>
    </w:p>
    <w:p w:rsidR="006D0EDA" w:rsidRPr="001D6211" w:rsidP="006D0EDA">
      <w:pPr>
        <w:tabs>
          <w:tab w:val="left" w:pos="567"/>
          <w:tab w:val="left" w:pos="1134"/>
        </w:tabs>
        <w:spacing w:after="0"/>
        <w:rPr>
          <w:rFonts w:cs="Arial"/>
          <w:b/>
        </w:rPr>
      </w:pPr>
      <w:r w:rsidRPr="001D6211">
        <w:rPr>
          <w:rFonts w:cs="Arial"/>
          <w:b/>
        </w:rPr>
        <w:t>2. Funding</w:t>
      </w:r>
    </w:p>
    <w:p w:rsidR="006D0EDA" w:rsidRPr="00E95F45" w:rsidP="006D0EDA">
      <w:pPr>
        <w:tabs>
          <w:tab w:val="left" w:pos="567"/>
          <w:tab w:val="left" w:pos="1134"/>
        </w:tabs>
        <w:spacing w:after="0"/>
        <w:rPr>
          <w:rFonts w:cs="Arial"/>
          <w:b/>
          <w:highlight w:val="yellow"/>
        </w:rPr>
      </w:pPr>
    </w:p>
    <w:p w:rsidR="0093494E" w:rsidRPr="00403B78" w:rsidP="003C12EA">
      <w:pPr>
        <w:tabs>
          <w:tab w:val="left" w:pos="567"/>
          <w:tab w:val="left" w:pos="1134"/>
        </w:tabs>
        <w:spacing w:after="0"/>
      </w:pPr>
      <w:r w:rsidRPr="00403B78">
        <w:t xml:space="preserve">The Chancellor launched the 2020 Comprehensive Spending Review in July 2020. This </w:t>
      </w:r>
      <w:r w:rsidRPr="00403B78" w:rsidR="00403B78">
        <w:t>wa</w:t>
      </w:r>
      <w:r w:rsidRPr="00403B78">
        <w:t xml:space="preserve">s due to be </w:t>
      </w:r>
      <w:r w:rsidRPr="00403B78" w:rsidR="00403B78">
        <w:t>published in the autumn and would</w:t>
      </w:r>
      <w:r w:rsidRPr="00403B78">
        <w:t xml:space="preserve"> set out the Government’s </w:t>
      </w:r>
      <w:r w:rsidR="008A176B">
        <w:t>revenue spending plans for 2021/22 to 2023/</w:t>
      </w:r>
      <w:r w:rsidRPr="00403B78">
        <w:t>24.</w:t>
      </w:r>
      <w:r w:rsidR="00403B78">
        <w:t xml:space="preserve">  </w:t>
      </w:r>
      <w:r>
        <w:rPr>
          <w:rFonts w:cs="Arial"/>
        </w:rPr>
        <w:t xml:space="preserve">Whilst a multi-year Spending Review was originally expected, the </w:t>
      </w:r>
      <w:r w:rsidRPr="0079043C">
        <w:rPr>
          <w:rFonts w:cs="Arial"/>
          <w:color w:val="0B0C0C"/>
          <w:shd w:val="clear" w:color="auto" w:fill="FFFFFF"/>
        </w:rPr>
        <w:t xml:space="preserve">Chancellor and the Prime Minister have </w:t>
      </w:r>
      <w:r>
        <w:rPr>
          <w:rFonts w:cs="Arial"/>
          <w:color w:val="0B0C0C"/>
          <w:shd w:val="clear" w:color="auto" w:fill="FFFFFF"/>
        </w:rPr>
        <w:t xml:space="preserve">now </w:t>
      </w:r>
      <w:r w:rsidRPr="0079043C">
        <w:rPr>
          <w:rFonts w:cs="Arial"/>
          <w:color w:val="0B0C0C"/>
          <w:shd w:val="clear" w:color="auto" w:fill="FFFFFF"/>
        </w:rPr>
        <w:t>decided to conduct a one-year Spending Review, setting department’s resour</w:t>
      </w:r>
      <w:r>
        <w:rPr>
          <w:rFonts w:cs="Arial"/>
          <w:color w:val="0B0C0C"/>
          <w:shd w:val="clear" w:color="auto" w:fill="FFFFFF"/>
        </w:rPr>
        <w:t>ce and capital budgets for 2021/</w:t>
      </w:r>
      <w:r w:rsidRPr="0079043C">
        <w:rPr>
          <w:rFonts w:cs="Arial"/>
          <w:color w:val="0B0C0C"/>
          <w:shd w:val="clear" w:color="auto" w:fill="FFFFFF"/>
        </w:rPr>
        <w:t>22</w:t>
      </w:r>
      <w:r>
        <w:rPr>
          <w:rFonts w:cs="Arial"/>
          <w:color w:val="0B0C0C"/>
          <w:shd w:val="clear" w:color="auto" w:fill="FFFFFF"/>
        </w:rPr>
        <w:t xml:space="preserve"> only i</w:t>
      </w:r>
      <w:r w:rsidRPr="0093494E">
        <w:rPr>
          <w:rFonts w:cs="Arial"/>
          <w:color w:val="0B0C0C"/>
          <w:shd w:val="clear" w:color="auto" w:fill="FFFFFF"/>
        </w:rPr>
        <w:t xml:space="preserve">n order to prioritise the response to Covid-19 and </w:t>
      </w:r>
      <w:r>
        <w:rPr>
          <w:rFonts w:cs="Arial"/>
          <w:color w:val="0B0C0C"/>
          <w:shd w:val="clear" w:color="auto" w:fill="FFFFFF"/>
        </w:rPr>
        <w:t>f</w:t>
      </w:r>
      <w:r w:rsidRPr="0093494E">
        <w:rPr>
          <w:rFonts w:cs="Arial"/>
          <w:color w:val="0B0C0C"/>
          <w:shd w:val="clear" w:color="auto" w:fill="FFFFFF"/>
        </w:rPr>
        <w:t>ocus on supporting jobs</w:t>
      </w:r>
      <w:r>
        <w:rPr>
          <w:rFonts w:cs="Arial"/>
          <w:color w:val="0B0C0C"/>
          <w:shd w:val="clear" w:color="auto" w:fill="FFFFFF"/>
        </w:rPr>
        <w:t xml:space="preserve">. The exact date of the Spending Review has not been confirmed yet but will conclude in late November and this and the subsequent settlement may have a significant impact on the forecast gap in 2021/22 given the clear recognition now that financial pressures relating to Covid-19 will continue into 2021/22 and beyond.  </w:t>
      </w:r>
    </w:p>
    <w:p w:rsidR="006D0EDA" w:rsidRPr="00E95F45">
      <w:pPr>
        <w:tabs>
          <w:tab w:val="left" w:pos="567"/>
          <w:tab w:val="left" w:pos="1134"/>
        </w:tabs>
        <w:spacing w:after="0"/>
        <w:rPr>
          <w:highlight w:val="yellow"/>
        </w:rPr>
      </w:pPr>
    </w:p>
    <w:p w:rsidR="006D0EDA" w:rsidRPr="001817FC" w:rsidP="003C12EA">
      <w:pPr>
        <w:tabs>
          <w:tab w:val="left" w:pos="567"/>
          <w:tab w:val="left" w:pos="1134"/>
        </w:tabs>
        <w:spacing w:after="0"/>
        <w:rPr>
          <w:b/>
        </w:rPr>
      </w:pPr>
      <w:r w:rsidRPr="001817FC">
        <w:rPr>
          <w:b/>
        </w:rPr>
        <w:t>Business Rates</w:t>
      </w:r>
    </w:p>
    <w:p w:rsidR="006D0EDA" w:rsidRPr="001817FC">
      <w:pPr>
        <w:tabs>
          <w:tab w:val="left" w:pos="567"/>
          <w:tab w:val="left" w:pos="1134"/>
        </w:tabs>
        <w:spacing w:after="0"/>
      </w:pPr>
      <w:r w:rsidRPr="001817FC">
        <w:t xml:space="preserve">A review of business rates was previously announced in the spring 2020 Budget.  The effect </w:t>
      </w:r>
      <w:r w:rsidR="0093494E">
        <w:t>of Covid</w:t>
      </w:r>
      <w:r w:rsidRPr="001817FC" w:rsidR="001817FC">
        <w:t>-</w:t>
      </w:r>
      <w:r w:rsidRPr="001817FC">
        <w:t>19 on the economy, has made fundamental change to business rates, which could even see them being replaced with a different business tax, much more likely.</w:t>
      </w:r>
    </w:p>
    <w:p w:rsidR="006D0EDA" w:rsidRPr="00E95F45">
      <w:pPr>
        <w:tabs>
          <w:tab w:val="left" w:pos="567"/>
          <w:tab w:val="left" w:pos="1134"/>
        </w:tabs>
        <w:spacing w:after="0"/>
        <w:rPr>
          <w:highlight w:val="yellow"/>
        </w:rPr>
      </w:pPr>
    </w:p>
    <w:p w:rsidR="006D0EDA" w:rsidRPr="001817FC" w:rsidP="00A70377">
      <w:pPr>
        <w:spacing w:after="0"/>
      </w:pPr>
      <w:r w:rsidRPr="001817FC">
        <w:t>The next business rates revaluation was due to take effect on 1 April 2022 (based on a valuation date of 1 April 2019).  A postponement of revaluation was announced in May 2020.  The Chancellor's statement confirmed that the next revaluation will take place on 1 April 2023, and will be based on property values as of 1 April 2021 in order to be</w:t>
      </w:r>
      <w:r w:rsidR="0093494E">
        <w:t>tter reflect the impact of Covid</w:t>
      </w:r>
      <w:r w:rsidRPr="001817FC" w:rsidR="001817FC">
        <w:t>-</w:t>
      </w:r>
      <w:r w:rsidRPr="001817FC">
        <w:t xml:space="preserve">19.  </w:t>
      </w:r>
    </w:p>
    <w:p w:rsidR="003C12EA" w:rsidRPr="001817FC" w:rsidP="00A70377">
      <w:pPr>
        <w:spacing w:after="0"/>
      </w:pPr>
    </w:p>
    <w:p w:rsidR="006D0EDA" w:rsidRPr="001817FC" w:rsidP="003C12EA">
      <w:pPr>
        <w:spacing w:after="0"/>
        <w:rPr>
          <w:rFonts w:ascii="Calibri" w:hAnsi="Calibri" w:eastAsiaTheme="minorHAnsi" w:cs="Calibri"/>
          <w:color w:val="auto"/>
          <w:sz w:val="22"/>
          <w:szCs w:val="22"/>
        </w:rPr>
      </w:pPr>
      <w:r w:rsidRPr="001817FC">
        <w:rPr>
          <w:b/>
        </w:rPr>
        <w:t>Fair Funding Formula</w:t>
      </w:r>
    </w:p>
    <w:p w:rsidR="006D0EDA" w:rsidRPr="001817FC">
      <w:pPr>
        <w:tabs>
          <w:tab w:val="left" w:pos="567"/>
          <w:tab w:val="left" w:pos="1134"/>
        </w:tabs>
        <w:spacing w:after="0"/>
        <w:rPr>
          <w:rFonts w:cs="Arial"/>
        </w:rPr>
      </w:pPr>
      <w:r w:rsidRPr="001817FC">
        <w:rPr>
          <w:rFonts w:cs="Arial"/>
        </w:rPr>
        <w:t xml:space="preserve">The fair funding formula was due to be in place by April 2021.  Following the </w:t>
      </w:r>
      <w:r w:rsidRPr="001817FC">
        <w:rPr>
          <w:rFonts w:cs="Arial"/>
        </w:rPr>
        <w:t>C</w:t>
      </w:r>
      <w:r w:rsidR="0093494E">
        <w:rPr>
          <w:rFonts w:cs="Arial"/>
        </w:rPr>
        <w:t>ovid</w:t>
      </w:r>
      <w:r w:rsidRPr="001817FC">
        <w:rPr>
          <w:rFonts w:cs="Arial"/>
        </w:rPr>
        <w:t xml:space="preserve"> pandemic, this has been delayed until at least April 2022.</w:t>
      </w:r>
    </w:p>
    <w:p w:rsidR="006D0EDA" w:rsidRPr="00E95F45">
      <w:pPr>
        <w:tabs>
          <w:tab w:val="left" w:pos="567"/>
          <w:tab w:val="left" w:pos="1134"/>
        </w:tabs>
        <w:spacing w:after="0"/>
        <w:rPr>
          <w:rFonts w:cs="Arial"/>
          <w:highlight w:val="yellow"/>
        </w:rPr>
      </w:pPr>
    </w:p>
    <w:p w:rsidR="006D0EDA" w:rsidRPr="001817FC" w:rsidP="006D0EDA">
      <w:pPr>
        <w:tabs>
          <w:tab w:val="left" w:pos="567"/>
          <w:tab w:val="left" w:pos="1134"/>
        </w:tabs>
        <w:spacing w:after="0"/>
        <w:rPr>
          <w:rFonts w:cs="Arial"/>
        </w:rPr>
      </w:pPr>
      <w:r w:rsidRPr="001817FC">
        <w:rPr>
          <w:rFonts w:cs="Arial"/>
        </w:rPr>
        <w:t>Due to the financial uncertainty created by the pandemic it has been necessary to make some assumptions around the future funding envelope, the most significant being:</w:t>
      </w:r>
    </w:p>
    <w:p w:rsidR="003C12EA" w:rsidRPr="00E95F45" w:rsidP="006D0EDA">
      <w:pPr>
        <w:tabs>
          <w:tab w:val="left" w:pos="567"/>
          <w:tab w:val="left" w:pos="1134"/>
        </w:tabs>
        <w:spacing w:after="0"/>
        <w:rPr>
          <w:rFonts w:cs="Arial"/>
          <w:highlight w:val="yellow"/>
        </w:rPr>
      </w:pPr>
    </w:p>
    <w:p w:rsidR="006D0EDA" w:rsidRPr="001817FC" w:rsidP="006D0EDA">
      <w:pPr>
        <w:numPr>
          <w:ilvl w:val="0"/>
          <w:numId w:val="45"/>
        </w:numPr>
        <w:tabs>
          <w:tab w:val="left" w:pos="567"/>
          <w:tab w:val="left" w:pos="1134"/>
        </w:tabs>
        <w:spacing w:after="0"/>
        <w:ind w:left="567" w:hanging="207"/>
        <w:contextualSpacing/>
        <w:rPr>
          <w:rFonts w:cs="Arial"/>
        </w:rPr>
      </w:pPr>
      <w:r w:rsidRPr="001817FC">
        <w:rPr>
          <w:rFonts w:cs="Arial"/>
        </w:rPr>
        <w:t xml:space="preserve">From the latest returns from districts, the council's share of a collection fund deficit of </w:t>
      </w:r>
      <w:r w:rsidR="00D41F74">
        <w:rPr>
          <w:rFonts w:cs="Arial"/>
        </w:rPr>
        <w:t>c</w:t>
      </w:r>
      <w:r w:rsidRPr="001817FC">
        <w:rPr>
          <w:rFonts w:cs="Arial"/>
        </w:rPr>
        <w:t>£</w:t>
      </w:r>
      <w:r w:rsidRPr="001817FC" w:rsidR="000D62D7">
        <w:rPr>
          <w:rFonts w:cs="Arial"/>
        </w:rPr>
        <w:t>20.7m</w:t>
      </w:r>
      <w:r w:rsidRPr="001817FC">
        <w:rPr>
          <w:rFonts w:cs="Arial"/>
        </w:rPr>
        <w:t xml:space="preserve"> is forecast. In line with government guidance this is to be repaid over financial years 2021/22-2023/24.</w:t>
      </w:r>
    </w:p>
    <w:p w:rsidR="006D0EDA" w:rsidRPr="001817FC" w:rsidP="006D0EDA">
      <w:pPr>
        <w:numPr>
          <w:ilvl w:val="0"/>
          <w:numId w:val="45"/>
        </w:numPr>
        <w:tabs>
          <w:tab w:val="left" w:pos="567"/>
          <w:tab w:val="left" w:pos="1134"/>
        </w:tabs>
        <w:spacing w:after="0"/>
        <w:ind w:left="567" w:hanging="207"/>
        <w:contextualSpacing/>
        <w:rPr>
          <w:rFonts w:cs="Arial"/>
        </w:rPr>
      </w:pPr>
      <w:r w:rsidRPr="001817FC">
        <w:rPr>
          <w:rFonts w:cs="Arial"/>
        </w:rPr>
        <w:t>No increase in tax</w:t>
      </w:r>
      <w:r w:rsidRPr="001817FC" w:rsidR="001817FC">
        <w:rPr>
          <w:rFonts w:cs="Arial"/>
        </w:rPr>
        <w:t xml:space="preserve"> base has been forecast in 2021/</w:t>
      </w:r>
      <w:r w:rsidRPr="001817FC">
        <w:rPr>
          <w:rFonts w:cs="Arial"/>
        </w:rPr>
        <w:t>22, with a return to pre-C</w:t>
      </w:r>
      <w:r w:rsidRPr="001817FC" w:rsidR="001817FC">
        <w:rPr>
          <w:rFonts w:cs="Arial"/>
        </w:rPr>
        <w:t>OVID</w:t>
      </w:r>
      <w:r w:rsidRPr="001817FC">
        <w:rPr>
          <w:rFonts w:cs="Arial"/>
        </w:rPr>
        <w:t xml:space="preserve"> levels of 1.7% per annum thereafter.</w:t>
      </w:r>
    </w:p>
    <w:p w:rsidR="006D0EDA" w:rsidRPr="001817FC" w:rsidP="006D0EDA">
      <w:pPr>
        <w:numPr>
          <w:ilvl w:val="0"/>
          <w:numId w:val="45"/>
        </w:numPr>
        <w:tabs>
          <w:tab w:val="left" w:pos="567"/>
          <w:tab w:val="left" w:pos="1134"/>
        </w:tabs>
        <w:spacing w:after="0"/>
        <w:ind w:left="567" w:hanging="207"/>
        <w:contextualSpacing/>
        <w:rPr>
          <w:rFonts w:cs="Arial"/>
        </w:rPr>
      </w:pPr>
      <w:r w:rsidRPr="001817FC">
        <w:rPr>
          <w:rFonts w:cs="Arial"/>
        </w:rPr>
        <w:t>Council tax increases of 1.99% will be applied each year.</w:t>
      </w:r>
    </w:p>
    <w:p w:rsidR="006D0EDA" w:rsidRPr="001817FC" w:rsidP="006D0EDA">
      <w:pPr>
        <w:numPr>
          <w:ilvl w:val="0"/>
          <w:numId w:val="45"/>
        </w:numPr>
        <w:tabs>
          <w:tab w:val="left" w:pos="567"/>
          <w:tab w:val="left" w:pos="1134"/>
        </w:tabs>
        <w:spacing w:after="0"/>
        <w:ind w:left="567" w:hanging="207"/>
        <w:contextualSpacing/>
        <w:rPr>
          <w:rFonts w:cs="Arial"/>
        </w:rPr>
      </w:pPr>
      <w:r w:rsidRPr="001817FC">
        <w:rPr>
          <w:rFonts w:cs="Arial"/>
        </w:rPr>
        <w:t>No growth or uplift on business rates has been built into 2021/22 with a return to growth of 0.5% per annum thereafter.</w:t>
      </w:r>
    </w:p>
    <w:p w:rsidR="006D0EDA" w:rsidRPr="001817FC" w:rsidP="006D0EDA">
      <w:pPr>
        <w:numPr>
          <w:ilvl w:val="0"/>
          <w:numId w:val="45"/>
        </w:numPr>
        <w:tabs>
          <w:tab w:val="left" w:pos="567"/>
          <w:tab w:val="left" w:pos="1134"/>
        </w:tabs>
        <w:spacing w:after="0"/>
        <w:ind w:left="567" w:hanging="207"/>
        <w:contextualSpacing/>
        <w:rPr>
          <w:rFonts w:cs="Arial"/>
        </w:rPr>
      </w:pPr>
      <w:r w:rsidRPr="001817FC">
        <w:rPr>
          <w:rFonts w:cs="Arial"/>
        </w:rPr>
        <w:t>No adult social care precept is assumed for the entirety of the forecast period</w:t>
      </w:r>
      <w:r w:rsidRPr="001817FC" w:rsidR="001817FC">
        <w:rPr>
          <w:rFonts w:cs="Arial"/>
        </w:rPr>
        <w:t>.</w:t>
      </w:r>
    </w:p>
    <w:p w:rsidR="006D0EDA" w:rsidRPr="001817FC" w:rsidP="006D0EDA">
      <w:pPr>
        <w:numPr>
          <w:ilvl w:val="0"/>
          <w:numId w:val="45"/>
        </w:numPr>
        <w:tabs>
          <w:tab w:val="left" w:pos="567"/>
          <w:tab w:val="left" w:pos="1134"/>
        </w:tabs>
        <w:spacing w:after="0"/>
        <w:ind w:left="567" w:hanging="207"/>
        <w:contextualSpacing/>
        <w:rPr>
          <w:rFonts w:cs="Arial"/>
        </w:rPr>
      </w:pPr>
      <w:r w:rsidRPr="001817FC">
        <w:rPr>
          <w:rFonts w:cs="Arial"/>
        </w:rPr>
        <w:t>Revenue support grant will be rolled over for the duration of this strategy.</w:t>
      </w:r>
    </w:p>
    <w:p w:rsidR="006D0EDA" w:rsidRPr="001817FC" w:rsidP="006D0EDA">
      <w:pPr>
        <w:numPr>
          <w:ilvl w:val="0"/>
          <w:numId w:val="45"/>
        </w:numPr>
        <w:tabs>
          <w:tab w:val="left" w:pos="567"/>
          <w:tab w:val="left" w:pos="1134"/>
        </w:tabs>
        <w:spacing w:after="0"/>
        <w:ind w:left="567" w:hanging="207"/>
        <w:contextualSpacing/>
        <w:rPr>
          <w:rFonts w:cs="Arial"/>
        </w:rPr>
      </w:pPr>
      <w:r w:rsidRPr="001817FC">
        <w:rPr>
          <w:rFonts w:cs="Arial"/>
        </w:rPr>
        <w:t>S</w:t>
      </w:r>
      <w:r w:rsidRPr="001817FC" w:rsidR="003C12EA">
        <w:rPr>
          <w:rFonts w:cs="Arial"/>
        </w:rPr>
        <w:t xml:space="preserve">ocial care </w:t>
      </w:r>
      <w:r w:rsidRPr="001817FC">
        <w:rPr>
          <w:rFonts w:cs="Arial"/>
        </w:rPr>
        <w:t xml:space="preserve">grant </w:t>
      </w:r>
      <w:r w:rsidRPr="001817FC" w:rsidR="003C12EA">
        <w:rPr>
          <w:rFonts w:cs="Arial"/>
        </w:rPr>
        <w:t>will be rolled over for the duration of this strategy.</w:t>
      </w:r>
    </w:p>
    <w:p w:rsidR="006D0EDA" w:rsidP="006D0EDA">
      <w:pPr>
        <w:spacing w:after="0"/>
        <w:rPr>
          <w:rFonts w:cs="Arial"/>
          <w:highlight w:val="yellow"/>
        </w:rPr>
      </w:pPr>
    </w:p>
    <w:p w:rsidR="001817FC" w:rsidP="006D0EDA">
      <w:pPr>
        <w:spacing w:after="0"/>
        <w:rPr>
          <w:rFonts w:cs="Arial"/>
          <w:highlight w:val="yellow"/>
        </w:rPr>
      </w:pPr>
    </w:p>
    <w:p w:rsidR="001817FC" w:rsidP="006D0EDA">
      <w:pPr>
        <w:spacing w:after="0"/>
        <w:rPr>
          <w:rFonts w:cs="Arial"/>
          <w:highlight w:val="yellow"/>
        </w:rPr>
      </w:pPr>
    </w:p>
    <w:p w:rsidR="001817FC" w:rsidP="006D0EDA">
      <w:pPr>
        <w:spacing w:after="0"/>
        <w:rPr>
          <w:rFonts w:cs="Arial"/>
          <w:highlight w:val="yellow"/>
        </w:rPr>
      </w:pPr>
    </w:p>
    <w:p w:rsidR="001817FC" w:rsidP="006D0EDA">
      <w:pPr>
        <w:spacing w:after="0"/>
        <w:rPr>
          <w:rFonts w:cs="Arial"/>
          <w:highlight w:val="yellow"/>
        </w:rPr>
      </w:pPr>
    </w:p>
    <w:p w:rsidR="0093494E" w:rsidRPr="00E95F45" w:rsidP="006D0EDA">
      <w:pPr>
        <w:spacing w:after="0"/>
        <w:rPr>
          <w:rFonts w:cs="Arial"/>
          <w:highlight w:val="yellow"/>
        </w:rPr>
      </w:pPr>
    </w:p>
    <w:p w:rsidR="006D0EDA" w:rsidRPr="001817FC" w:rsidP="006D0EDA">
      <w:pPr>
        <w:spacing w:after="0"/>
        <w:rPr>
          <w:rFonts w:cs="Arial"/>
        </w:rPr>
      </w:pPr>
      <w:r w:rsidRPr="001817FC">
        <w:rPr>
          <w:rFonts w:cs="Arial"/>
        </w:rPr>
        <w:t xml:space="preserve">The table below reflects the updated funding position. </w:t>
      </w:r>
    </w:p>
    <w:p w:rsidR="006D0EDA" w:rsidRPr="00E95F45" w:rsidP="006D0EDA">
      <w:pPr>
        <w:spacing w:after="0"/>
        <w:rPr>
          <w:rFonts w:cs="Arial"/>
          <w:b/>
          <w:i/>
          <w:highlight w:val="yellow"/>
          <w:u w:val="single"/>
        </w:rPr>
      </w:pPr>
    </w:p>
    <w:p w:rsidR="006D0EDA" w:rsidRPr="000D62D7" w:rsidP="006D0EDA">
      <w:pPr>
        <w:spacing w:after="0"/>
        <w:rPr>
          <w:rFonts w:cs="Arial"/>
          <w:b/>
          <w:i/>
          <w:u w:val="single"/>
        </w:rPr>
      </w:pPr>
      <w:r w:rsidRPr="000D62D7">
        <w:rPr>
          <w:rFonts w:cs="Arial"/>
          <w:b/>
          <w:i/>
          <w:u w:val="single"/>
        </w:rPr>
        <w:t>Table 2</w:t>
      </w:r>
    </w:p>
    <w:p w:rsidR="006D0EDA" w:rsidRPr="00E95F45" w:rsidP="006D0EDA">
      <w:pPr>
        <w:spacing w:after="0"/>
        <w:rPr>
          <w:rFonts w:cs="Arial"/>
          <w:b/>
          <w:i/>
          <w:highlight w:val="yellow"/>
          <w:u w:val="single"/>
        </w:rPr>
      </w:pPr>
    </w:p>
    <w:tbl>
      <w:tblPr>
        <w:tblStyle w:val="TableGrid201"/>
        <w:tblW w:w="8832" w:type="dxa"/>
        <w:jc w:val="center"/>
        <w:tblLook w:val="04A0"/>
      </w:tblPr>
      <w:tblGrid>
        <w:gridCol w:w="3828"/>
        <w:gridCol w:w="1696"/>
        <w:gridCol w:w="1654"/>
        <w:gridCol w:w="1654"/>
      </w:tblGrid>
      <w:tr w:rsidTr="006D0EDA">
        <w:tblPrEx>
          <w:tblW w:w="8832" w:type="dxa"/>
          <w:jc w:val="center"/>
          <w:tblLook w:val="04A0"/>
        </w:tblPrEx>
        <w:trPr>
          <w:trHeight w:val="593"/>
          <w:jc w:val="center"/>
        </w:trPr>
        <w:tc>
          <w:tcPr>
            <w:tcW w:w="3828" w:type="dxa"/>
            <w:shd w:val="clear" w:color="auto" w:fill="BFBFBF" w:themeFill="background1" w:themeFillShade="BF"/>
            <w:vAlign w:val="center"/>
          </w:tcPr>
          <w:p w:rsidR="006D0EDA" w:rsidRPr="00E95F45" w:rsidP="006D0EDA">
            <w:pPr>
              <w:rPr>
                <w:rFonts w:eastAsiaTheme="minorHAnsi" w:cs="Arial"/>
                <w:highlight w:val="yellow"/>
              </w:rPr>
            </w:pPr>
          </w:p>
        </w:tc>
        <w:tc>
          <w:tcPr>
            <w:tcW w:w="1696" w:type="dxa"/>
            <w:shd w:val="clear" w:color="auto" w:fill="BFBFBF" w:themeFill="background1" w:themeFillShade="BF"/>
            <w:vAlign w:val="center"/>
          </w:tcPr>
          <w:p w:rsidR="006D0EDA" w:rsidRPr="000D62D7" w:rsidP="006D0EDA">
            <w:pPr>
              <w:spacing w:after="0"/>
              <w:jc w:val="center"/>
              <w:rPr>
                <w:rFonts w:eastAsiaTheme="minorHAnsi" w:cs="Arial"/>
                <w:b/>
              </w:rPr>
            </w:pPr>
            <w:r w:rsidRPr="000D62D7">
              <w:rPr>
                <w:rFonts w:eastAsiaTheme="minorHAnsi" w:cs="Arial"/>
                <w:b/>
              </w:rPr>
              <w:t>2021/22</w:t>
            </w:r>
          </w:p>
          <w:p w:rsidR="006D0EDA" w:rsidRPr="000D62D7" w:rsidP="006D0EDA">
            <w:pPr>
              <w:spacing w:after="0"/>
              <w:jc w:val="center"/>
              <w:rPr>
                <w:rFonts w:eastAsiaTheme="minorHAnsi" w:cs="Arial"/>
                <w:b/>
              </w:rPr>
            </w:pPr>
            <w:r w:rsidRPr="000D62D7">
              <w:rPr>
                <w:rFonts w:eastAsiaTheme="minorHAnsi" w:cs="Arial"/>
                <w:b/>
              </w:rPr>
              <w:t>£m</w:t>
            </w:r>
          </w:p>
        </w:tc>
        <w:tc>
          <w:tcPr>
            <w:tcW w:w="1654" w:type="dxa"/>
            <w:shd w:val="clear" w:color="auto" w:fill="BFBFBF" w:themeFill="background1" w:themeFillShade="BF"/>
            <w:vAlign w:val="center"/>
          </w:tcPr>
          <w:p w:rsidR="006D0EDA" w:rsidRPr="000D62D7" w:rsidP="006D0EDA">
            <w:pPr>
              <w:spacing w:after="0"/>
              <w:jc w:val="center"/>
              <w:rPr>
                <w:rFonts w:eastAsiaTheme="minorHAnsi" w:cs="Arial"/>
                <w:b/>
              </w:rPr>
            </w:pPr>
            <w:r w:rsidRPr="000D62D7">
              <w:rPr>
                <w:rFonts w:eastAsiaTheme="minorHAnsi" w:cs="Arial"/>
                <w:b/>
              </w:rPr>
              <w:t>2022/23</w:t>
            </w:r>
          </w:p>
          <w:p w:rsidR="006D0EDA" w:rsidRPr="000D62D7" w:rsidP="006D0EDA">
            <w:pPr>
              <w:spacing w:after="0"/>
              <w:jc w:val="center"/>
              <w:rPr>
                <w:rFonts w:eastAsiaTheme="minorHAnsi" w:cs="Arial"/>
                <w:b/>
              </w:rPr>
            </w:pPr>
            <w:r w:rsidRPr="000D62D7">
              <w:rPr>
                <w:rFonts w:eastAsiaTheme="minorHAnsi" w:cs="Arial"/>
                <w:b/>
              </w:rPr>
              <w:t>£m</w:t>
            </w:r>
          </w:p>
        </w:tc>
        <w:tc>
          <w:tcPr>
            <w:tcW w:w="1654" w:type="dxa"/>
            <w:shd w:val="clear" w:color="auto" w:fill="BFBFBF" w:themeFill="background1" w:themeFillShade="BF"/>
            <w:vAlign w:val="center"/>
          </w:tcPr>
          <w:p w:rsidR="006D0EDA" w:rsidRPr="000D62D7" w:rsidP="006D0EDA">
            <w:pPr>
              <w:spacing w:after="0"/>
              <w:jc w:val="center"/>
              <w:rPr>
                <w:rFonts w:eastAsiaTheme="minorHAnsi" w:cs="Arial"/>
                <w:b/>
              </w:rPr>
            </w:pPr>
            <w:r w:rsidRPr="000D62D7">
              <w:rPr>
                <w:rFonts w:eastAsiaTheme="minorHAnsi" w:cs="Arial"/>
                <w:b/>
              </w:rPr>
              <w:t>2023/24</w:t>
            </w:r>
          </w:p>
          <w:p w:rsidR="006D0EDA" w:rsidRPr="000D62D7" w:rsidP="006D0EDA">
            <w:pPr>
              <w:spacing w:after="0"/>
              <w:jc w:val="center"/>
              <w:rPr>
                <w:rFonts w:eastAsiaTheme="minorHAnsi" w:cs="Arial"/>
                <w:b/>
              </w:rPr>
            </w:pPr>
            <w:r w:rsidRPr="000D62D7">
              <w:rPr>
                <w:rFonts w:eastAsiaTheme="minorHAnsi" w:cs="Arial"/>
                <w:b/>
              </w:rPr>
              <w:t>£m</w:t>
            </w:r>
          </w:p>
        </w:tc>
      </w:tr>
      <w:tr w:rsidTr="000D62D7">
        <w:tblPrEx>
          <w:tblW w:w="8832" w:type="dxa"/>
          <w:jc w:val="center"/>
          <w:tblLook w:val="04A0"/>
        </w:tblPrEx>
        <w:trPr>
          <w:trHeight w:val="526"/>
          <w:jc w:val="center"/>
        </w:trPr>
        <w:tc>
          <w:tcPr>
            <w:tcW w:w="3828" w:type="dxa"/>
            <w:vAlign w:val="bottom"/>
          </w:tcPr>
          <w:p w:rsidR="000D62D7" w:rsidRPr="000D62D7" w:rsidP="000D62D7">
            <w:pPr>
              <w:rPr>
                <w:rFonts w:eastAsiaTheme="minorHAnsi" w:cs="Arial"/>
              </w:rPr>
            </w:pPr>
            <w:r w:rsidRPr="000D62D7">
              <w:rPr>
                <w:rFonts w:cs="Arial"/>
              </w:rPr>
              <w:t>Revenue Support Grant</w:t>
            </w:r>
          </w:p>
        </w:tc>
        <w:tc>
          <w:tcPr>
            <w:tcW w:w="1696" w:type="dxa"/>
            <w:tcBorders>
              <w:top w:val="nil"/>
              <w:left w:val="nil"/>
              <w:bottom w:val="single" w:sz="8" w:space="0" w:color="auto"/>
              <w:right w:val="single" w:sz="8" w:space="0" w:color="auto"/>
            </w:tcBorders>
            <w:shd w:val="clear" w:color="auto" w:fill="auto"/>
            <w:vAlign w:val="center"/>
          </w:tcPr>
          <w:p w:rsidR="000D62D7" w:rsidRPr="000D62D7" w:rsidP="000D62D7">
            <w:pPr>
              <w:autoSpaceDE/>
              <w:autoSpaceDN/>
              <w:adjustRightInd/>
              <w:spacing w:after="0"/>
              <w:jc w:val="right"/>
              <w:rPr>
                <w:rFonts w:eastAsia="Times New Roman" w:cs="Arial"/>
                <w:lang w:eastAsia="en-GB"/>
              </w:rPr>
            </w:pPr>
            <w:r w:rsidRPr="000D62D7">
              <w:rPr>
                <w:rFonts w:cs="Arial"/>
              </w:rPr>
              <w:t>33.965</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34.576</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35.268</w:t>
            </w:r>
          </w:p>
        </w:tc>
      </w:tr>
      <w:tr w:rsidTr="000D62D7">
        <w:tblPrEx>
          <w:tblW w:w="8832" w:type="dxa"/>
          <w:jc w:val="center"/>
          <w:tblLook w:val="04A0"/>
        </w:tblPrEx>
        <w:trPr>
          <w:trHeight w:val="526"/>
          <w:jc w:val="center"/>
        </w:trPr>
        <w:tc>
          <w:tcPr>
            <w:tcW w:w="3828" w:type="dxa"/>
            <w:vAlign w:val="bottom"/>
            <w:hideMark/>
          </w:tcPr>
          <w:p w:rsidR="000D62D7" w:rsidRPr="000D62D7" w:rsidP="000D62D7">
            <w:pPr>
              <w:rPr>
                <w:rFonts w:eastAsiaTheme="minorHAnsi" w:cs="Arial"/>
                <w:color w:val="auto"/>
              </w:rPr>
            </w:pPr>
            <w:r w:rsidRPr="000D62D7">
              <w:rPr>
                <w:rFonts w:cs="Arial"/>
              </w:rPr>
              <w:t>Business Rates</w:t>
            </w:r>
          </w:p>
        </w:tc>
        <w:tc>
          <w:tcPr>
            <w:tcW w:w="1696"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200.573</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205.120</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208.985</w:t>
            </w:r>
          </w:p>
        </w:tc>
      </w:tr>
      <w:tr w:rsidTr="000D62D7">
        <w:tblPrEx>
          <w:tblW w:w="8832" w:type="dxa"/>
          <w:jc w:val="center"/>
          <w:tblLook w:val="04A0"/>
        </w:tblPrEx>
        <w:trPr>
          <w:trHeight w:val="526"/>
          <w:jc w:val="center"/>
        </w:trPr>
        <w:tc>
          <w:tcPr>
            <w:tcW w:w="3828" w:type="dxa"/>
            <w:vAlign w:val="bottom"/>
            <w:hideMark/>
          </w:tcPr>
          <w:p w:rsidR="000D62D7" w:rsidRPr="000D62D7" w:rsidP="000D62D7">
            <w:pPr>
              <w:rPr>
                <w:rFonts w:eastAsiaTheme="minorHAnsi" w:cs="Arial"/>
                <w:color w:val="auto"/>
              </w:rPr>
            </w:pPr>
            <w:r w:rsidRPr="000D62D7">
              <w:rPr>
                <w:rFonts w:cs="Arial"/>
              </w:rPr>
              <w:t>Council Tax</w:t>
            </w:r>
          </w:p>
        </w:tc>
        <w:tc>
          <w:tcPr>
            <w:tcW w:w="1696" w:type="dxa"/>
            <w:tcBorders>
              <w:top w:val="nil"/>
              <w:left w:val="nil"/>
              <w:bottom w:val="single" w:sz="8" w:space="0" w:color="auto"/>
              <w:right w:val="nil"/>
            </w:tcBorders>
            <w:shd w:val="clear" w:color="auto" w:fill="auto"/>
            <w:vAlign w:val="center"/>
          </w:tcPr>
          <w:p w:rsidR="000D62D7" w:rsidRPr="000D62D7" w:rsidP="000D62D7">
            <w:pPr>
              <w:spacing w:after="0"/>
              <w:jc w:val="right"/>
              <w:rPr>
                <w:rFonts w:cs="Arial"/>
              </w:rPr>
            </w:pPr>
            <w:r w:rsidRPr="000D62D7">
              <w:rPr>
                <w:rFonts w:cs="Arial"/>
              </w:rPr>
              <w:t>529.989</w:t>
            </w:r>
          </w:p>
        </w:tc>
        <w:tc>
          <w:tcPr>
            <w:tcW w:w="1654" w:type="dxa"/>
            <w:tcBorders>
              <w:top w:val="nil"/>
              <w:left w:val="single" w:sz="8" w:space="0" w:color="auto"/>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549.725</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570.196</w:t>
            </w:r>
          </w:p>
        </w:tc>
      </w:tr>
      <w:tr w:rsidTr="000D62D7">
        <w:tblPrEx>
          <w:tblW w:w="8832" w:type="dxa"/>
          <w:jc w:val="center"/>
          <w:tblLook w:val="04A0"/>
        </w:tblPrEx>
        <w:trPr>
          <w:trHeight w:val="526"/>
          <w:jc w:val="center"/>
        </w:trPr>
        <w:tc>
          <w:tcPr>
            <w:tcW w:w="3828" w:type="dxa"/>
            <w:vAlign w:val="bottom"/>
          </w:tcPr>
          <w:p w:rsidR="000D62D7" w:rsidRPr="000D62D7" w:rsidP="000D62D7">
            <w:pPr>
              <w:rPr>
                <w:rFonts w:eastAsiaTheme="minorHAnsi" w:cs="Arial"/>
                <w:color w:val="auto"/>
              </w:rPr>
            </w:pPr>
            <w:r w:rsidRPr="000D62D7">
              <w:rPr>
                <w:rFonts w:cs="Arial"/>
              </w:rPr>
              <w:t>New Homes Bonus</w:t>
            </w:r>
          </w:p>
        </w:tc>
        <w:tc>
          <w:tcPr>
            <w:tcW w:w="1696" w:type="dxa"/>
            <w:tcBorders>
              <w:top w:val="nil"/>
              <w:left w:val="nil"/>
              <w:bottom w:val="single" w:sz="8" w:space="0" w:color="auto"/>
              <w:right w:val="nil"/>
            </w:tcBorders>
            <w:shd w:val="clear" w:color="auto" w:fill="auto"/>
            <w:vAlign w:val="center"/>
          </w:tcPr>
          <w:p w:rsidR="000D62D7" w:rsidRPr="000D62D7" w:rsidP="000D62D7">
            <w:pPr>
              <w:spacing w:after="0"/>
              <w:jc w:val="right"/>
              <w:rPr>
                <w:rFonts w:cs="Arial"/>
              </w:rPr>
            </w:pPr>
            <w:r w:rsidRPr="000D62D7">
              <w:rPr>
                <w:rFonts w:cs="Arial"/>
              </w:rPr>
              <w:t>2.405</w:t>
            </w:r>
          </w:p>
        </w:tc>
        <w:tc>
          <w:tcPr>
            <w:tcW w:w="1654" w:type="dxa"/>
            <w:tcBorders>
              <w:top w:val="nil"/>
              <w:left w:val="single" w:sz="8" w:space="0" w:color="auto"/>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1.635</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0.799</w:t>
            </w:r>
          </w:p>
        </w:tc>
      </w:tr>
      <w:tr w:rsidTr="000D62D7">
        <w:tblPrEx>
          <w:tblW w:w="8832" w:type="dxa"/>
          <w:jc w:val="center"/>
          <w:tblLook w:val="04A0"/>
        </w:tblPrEx>
        <w:trPr>
          <w:trHeight w:val="526"/>
          <w:jc w:val="center"/>
        </w:trPr>
        <w:tc>
          <w:tcPr>
            <w:tcW w:w="3828" w:type="dxa"/>
            <w:vAlign w:val="bottom"/>
            <w:hideMark/>
          </w:tcPr>
          <w:p w:rsidR="000D62D7" w:rsidRPr="000D62D7" w:rsidP="000D62D7">
            <w:pPr>
              <w:jc w:val="left"/>
              <w:rPr>
                <w:rFonts w:eastAsiaTheme="minorHAnsi" w:cs="Arial"/>
                <w:color w:val="auto"/>
              </w:rPr>
            </w:pPr>
            <w:r>
              <w:rPr>
                <w:rFonts w:cs="Arial"/>
              </w:rPr>
              <w:t xml:space="preserve">Improved </w:t>
            </w:r>
            <w:r w:rsidRPr="000D62D7">
              <w:rPr>
                <w:rFonts w:cs="Arial"/>
              </w:rPr>
              <w:t>Better Care Fund</w:t>
            </w:r>
          </w:p>
        </w:tc>
        <w:tc>
          <w:tcPr>
            <w:tcW w:w="1696" w:type="dxa"/>
            <w:tcBorders>
              <w:top w:val="nil"/>
              <w:left w:val="nil"/>
              <w:bottom w:val="single" w:sz="8" w:space="0" w:color="auto"/>
              <w:right w:val="nil"/>
            </w:tcBorders>
            <w:shd w:val="clear" w:color="auto" w:fill="auto"/>
            <w:vAlign w:val="center"/>
          </w:tcPr>
          <w:p w:rsidR="000D62D7" w:rsidRPr="000D62D7" w:rsidP="000D62D7">
            <w:pPr>
              <w:spacing w:after="0"/>
              <w:jc w:val="right"/>
              <w:rPr>
                <w:rFonts w:cs="Arial"/>
              </w:rPr>
            </w:pPr>
            <w:r w:rsidRPr="000D62D7">
              <w:rPr>
                <w:rFonts w:cs="Arial"/>
              </w:rPr>
              <w:t>45.532</w:t>
            </w:r>
          </w:p>
        </w:tc>
        <w:tc>
          <w:tcPr>
            <w:tcW w:w="1654" w:type="dxa"/>
            <w:tcBorders>
              <w:top w:val="nil"/>
              <w:left w:val="single" w:sz="8" w:space="0" w:color="auto"/>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45.532</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45.532</w:t>
            </w:r>
          </w:p>
        </w:tc>
      </w:tr>
      <w:tr w:rsidTr="000D62D7">
        <w:tblPrEx>
          <w:tblW w:w="8832" w:type="dxa"/>
          <w:jc w:val="center"/>
          <w:tblLook w:val="04A0"/>
        </w:tblPrEx>
        <w:trPr>
          <w:trHeight w:val="526"/>
          <w:jc w:val="center"/>
        </w:trPr>
        <w:tc>
          <w:tcPr>
            <w:tcW w:w="3828" w:type="dxa"/>
            <w:vAlign w:val="bottom"/>
          </w:tcPr>
          <w:p w:rsidR="000D62D7" w:rsidRPr="000D62D7" w:rsidP="000D62D7">
            <w:pPr>
              <w:rPr>
                <w:rFonts w:eastAsiaTheme="minorHAnsi" w:cs="Arial"/>
                <w:color w:val="auto"/>
              </w:rPr>
            </w:pPr>
            <w:r w:rsidRPr="000D62D7">
              <w:rPr>
                <w:rFonts w:cs="Arial"/>
              </w:rPr>
              <w:t>Social Care Support Grant</w:t>
            </w:r>
          </w:p>
        </w:tc>
        <w:tc>
          <w:tcPr>
            <w:tcW w:w="1696"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33.417</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33.417</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33.417</w:t>
            </w:r>
          </w:p>
        </w:tc>
      </w:tr>
      <w:tr w:rsidTr="000D62D7">
        <w:tblPrEx>
          <w:tblW w:w="8832" w:type="dxa"/>
          <w:jc w:val="center"/>
          <w:tblLook w:val="04A0"/>
        </w:tblPrEx>
        <w:trPr>
          <w:trHeight w:val="526"/>
          <w:jc w:val="center"/>
        </w:trPr>
        <w:tc>
          <w:tcPr>
            <w:tcW w:w="3828" w:type="dxa"/>
            <w:tcBorders>
              <w:bottom w:val="single" w:sz="4" w:space="0" w:color="auto"/>
            </w:tcBorders>
            <w:vAlign w:val="bottom"/>
            <w:hideMark/>
          </w:tcPr>
          <w:p w:rsidR="000D62D7" w:rsidRPr="000D62D7" w:rsidP="000D62D7">
            <w:pPr>
              <w:rPr>
                <w:rFonts w:eastAsiaTheme="minorHAnsi" w:cs="Arial"/>
                <w:color w:val="auto"/>
              </w:rPr>
            </w:pPr>
            <w:r w:rsidRPr="000D62D7">
              <w:rPr>
                <w:rFonts w:cs="Arial"/>
              </w:rPr>
              <w:t>Collection Fund</w:t>
            </w:r>
          </w:p>
        </w:tc>
        <w:tc>
          <w:tcPr>
            <w:tcW w:w="1696" w:type="dxa"/>
            <w:tcBorders>
              <w:top w:val="nil"/>
              <w:left w:val="nil"/>
              <w:bottom w:val="single" w:sz="4" w:space="0" w:color="auto"/>
              <w:right w:val="nil"/>
            </w:tcBorders>
            <w:shd w:val="clear" w:color="auto" w:fill="auto"/>
            <w:vAlign w:val="center"/>
          </w:tcPr>
          <w:p w:rsidR="000D62D7" w:rsidRPr="000D62D7" w:rsidP="000D62D7">
            <w:pPr>
              <w:spacing w:after="0"/>
              <w:jc w:val="right"/>
              <w:rPr>
                <w:rFonts w:cs="Arial"/>
              </w:rPr>
            </w:pPr>
            <w:r w:rsidRPr="000D62D7">
              <w:rPr>
                <w:rFonts w:cs="Arial"/>
              </w:rPr>
              <w:t>-6.912</w:t>
            </w:r>
          </w:p>
        </w:tc>
        <w:tc>
          <w:tcPr>
            <w:tcW w:w="1654" w:type="dxa"/>
            <w:tcBorders>
              <w:top w:val="nil"/>
              <w:left w:val="single" w:sz="8" w:space="0" w:color="auto"/>
              <w:bottom w:val="single" w:sz="4"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-6.912</w:t>
            </w:r>
          </w:p>
        </w:tc>
        <w:tc>
          <w:tcPr>
            <w:tcW w:w="1654" w:type="dxa"/>
            <w:tcBorders>
              <w:top w:val="nil"/>
              <w:left w:val="nil"/>
              <w:bottom w:val="single" w:sz="4" w:space="0" w:color="auto"/>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-6.912</w:t>
            </w:r>
          </w:p>
        </w:tc>
      </w:tr>
      <w:tr w:rsidTr="000D62D7">
        <w:tblPrEx>
          <w:tblW w:w="8832" w:type="dxa"/>
          <w:jc w:val="center"/>
          <w:tblLook w:val="04A0"/>
        </w:tblPrEx>
        <w:trPr>
          <w:trHeight w:val="526"/>
          <w:jc w:val="center"/>
        </w:trPr>
        <w:tc>
          <w:tcPr>
            <w:tcW w:w="3828" w:type="dxa"/>
            <w:tcBorders>
              <w:top w:val="single" w:sz="4" w:space="0" w:color="auto"/>
            </w:tcBorders>
            <w:vAlign w:val="bottom"/>
          </w:tcPr>
          <w:p w:rsidR="000D62D7" w:rsidRPr="000D62D7" w:rsidP="000D62D7">
            <w:pPr>
              <w:rPr>
                <w:rFonts w:cs="Arial"/>
              </w:rPr>
            </w:pPr>
            <w:r w:rsidRPr="000D62D7">
              <w:rPr>
                <w:rFonts w:cs="Arial"/>
              </w:rPr>
              <w:t>Capital Receipts</w:t>
            </w:r>
          </w:p>
        </w:tc>
        <w:tc>
          <w:tcPr>
            <w:tcW w:w="1696" w:type="dxa"/>
            <w:tcBorders>
              <w:top w:val="single" w:sz="4" w:space="0" w:color="auto"/>
              <w:left w:val="nil"/>
              <w:bottom w:val="nil"/>
              <w:right w:val="nil"/>
            </w:tcBorders>
            <w:shd w:val="clear" w:color="auto" w:fill="auto"/>
            <w:vAlign w:val="center"/>
          </w:tcPr>
          <w:p w:rsidR="000D62D7" w:rsidRPr="000D62D7" w:rsidP="000D62D7">
            <w:pPr>
              <w:spacing w:after="0"/>
              <w:jc w:val="right"/>
              <w:rPr>
                <w:rFonts w:cs="Arial"/>
              </w:rPr>
            </w:pPr>
            <w:r w:rsidRPr="000D62D7">
              <w:rPr>
                <w:rFonts w:cs="Arial"/>
              </w:rPr>
              <w:t>2.500</w:t>
            </w:r>
          </w:p>
        </w:tc>
        <w:tc>
          <w:tcPr>
            <w:tcW w:w="1654" w:type="dxa"/>
            <w:tcBorders>
              <w:top w:val="single" w:sz="4" w:space="0" w:color="auto"/>
              <w:left w:val="single" w:sz="8" w:space="0" w:color="auto"/>
              <w:bottom w:val="nil"/>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0.000</w:t>
            </w:r>
          </w:p>
        </w:tc>
        <w:tc>
          <w:tcPr>
            <w:tcW w:w="1654" w:type="dxa"/>
            <w:tcBorders>
              <w:top w:val="single" w:sz="4" w:space="0" w:color="auto"/>
              <w:left w:val="nil"/>
              <w:bottom w:val="nil"/>
              <w:right w:val="single" w:sz="8" w:space="0" w:color="auto"/>
            </w:tcBorders>
            <w:shd w:val="clear" w:color="auto" w:fill="auto"/>
            <w:vAlign w:val="center"/>
          </w:tcPr>
          <w:p w:rsidR="000D62D7" w:rsidRPr="000D62D7" w:rsidP="000D62D7">
            <w:pPr>
              <w:spacing w:after="0"/>
              <w:jc w:val="right"/>
              <w:rPr>
                <w:rFonts w:cs="Arial"/>
              </w:rPr>
            </w:pPr>
            <w:r w:rsidRPr="000D62D7">
              <w:rPr>
                <w:rFonts w:cs="Arial"/>
              </w:rPr>
              <w:t>0.000</w:t>
            </w:r>
          </w:p>
        </w:tc>
      </w:tr>
      <w:tr w:rsidTr="000D62D7">
        <w:tblPrEx>
          <w:tblW w:w="8832" w:type="dxa"/>
          <w:jc w:val="center"/>
          <w:tblLook w:val="04A0"/>
        </w:tblPrEx>
        <w:trPr>
          <w:trHeight w:val="552"/>
          <w:jc w:val="center"/>
        </w:trPr>
        <w:tc>
          <w:tcPr>
            <w:tcW w:w="3828" w:type="dxa"/>
            <w:shd w:val="clear" w:color="auto" w:fill="BFBFBF" w:themeFill="background1" w:themeFillShade="BF"/>
            <w:vAlign w:val="center"/>
          </w:tcPr>
          <w:p w:rsidR="000D62D7" w:rsidRPr="000D62D7" w:rsidP="000D62D7">
            <w:pPr>
              <w:spacing w:after="0"/>
              <w:rPr>
                <w:rFonts w:eastAsiaTheme="minorHAnsi" w:cs="Arial"/>
                <w:b/>
              </w:rPr>
            </w:pPr>
            <w:r w:rsidRPr="000D62D7">
              <w:rPr>
                <w:rFonts w:eastAsiaTheme="minorHAnsi" w:cs="Arial"/>
                <w:b/>
              </w:rPr>
              <w:t>Total</w:t>
            </w:r>
          </w:p>
        </w:tc>
        <w:tc>
          <w:tcPr>
            <w:tcW w:w="1696" w:type="dxa"/>
            <w:tcBorders>
              <w:top w:val="single" w:sz="8" w:space="0" w:color="auto"/>
              <w:left w:val="nil"/>
              <w:bottom w:val="single" w:sz="8" w:space="0" w:color="auto"/>
              <w:right w:val="single" w:sz="8" w:space="0" w:color="auto"/>
            </w:tcBorders>
            <w:shd w:val="clear" w:color="000000" w:fill="BFBFBF"/>
            <w:vAlign w:val="center"/>
          </w:tcPr>
          <w:p w:rsidR="000D62D7" w:rsidRPr="000D62D7" w:rsidP="000D62D7">
            <w:pPr>
              <w:autoSpaceDE/>
              <w:autoSpaceDN/>
              <w:adjustRightInd/>
              <w:spacing w:after="0"/>
              <w:jc w:val="right"/>
              <w:rPr>
                <w:rFonts w:eastAsia="Times New Roman" w:cs="Arial"/>
                <w:b/>
                <w:bCs/>
                <w:lang w:eastAsia="en-GB"/>
              </w:rPr>
            </w:pPr>
            <w:r w:rsidRPr="000D62D7">
              <w:rPr>
                <w:rFonts w:cs="Arial"/>
                <w:b/>
                <w:bCs/>
              </w:rPr>
              <w:t>841.469</w:t>
            </w:r>
          </w:p>
        </w:tc>
        <w:tc>
          <w:tcPr>
            <w:tcW w:w="1654" w:type="dxa"/>
            <w:tcBorders>
              <w:top w:val="single" w:sz="8" w:space="0" w:color="auto"/>
              <w:left w:val="nil"/>
              <w:bottom w:val="single" w:sz="8" w:space="0" w:color="auto"/>
              <w:right w:val="single" w:sz="8" w:space="0" w:color="auto"/>
            </w:tcBorders>
            <w:shd w:val="clear" w:color="000000" w:fill="BFBFBF"/>
            <w:vAlign w:val="center"/>
          </w:tcPr>
          <w:p w:rsidR="000D62D7" w:rsidRPr="000D62D7" w:rsidP="000D62D7">
            <w:pPr>
              <w:spacing w:after="0"/>
              <w:jc w:val="right"/>
              <w:rPr>
                <w:rFonts w:cs="Arial"/>
                <w:b/>
                <w:bCs/>
              </w:rPr>
            </w:pPr>
            <w:r w:rsidRPr="000D62D7">
              <w:rPr>
                <w:rFonts w:cs="Arial"/>
                <w:b/>
                <w:bCs/>
              </w:rPr>
              <w:t>863.093</w:t>
            </w:r>
          </w:p>
        </w:tc>
        <w:tc>
          <w:tcPr>
            <w:tcW w:w="1654" w:type="dxa"/>
            <w:tcBorders>
              <w:top w:val="single" w:sz="8" w:space="0" w:color="auto"/>
              <w:left w:val="nil"/>
              <w:bottom w:val="single" w:sz="8" w:space="0" w:color="auto"/>
              <w:right w:val="single" w:sz="8" w:space="0" w:color="auto"/>
            </w:tcBorders>
            <w:shd w:val="clear" w:color="000000" w:fill="BFBFBF"/>
            <w:vAlign w:val="center"/>
          </w:tcPr>
          <w:p w:rsidR="000D62D7" w:rsidRPr="000D62D7" w:rsidP="000D62D7">
            <w:pPr>
              <w:spacing w:after="0"/>
              <w:jc w:val="right"/>
              <w:rPr>
                <w:rFonts w:cs="Arial"/>
                <w:b/>
                <w:bCs/>
              </w:rPr>
            </w:pPr>
            <w:r w:rsidRPr="000D62D7">
              <w:rPr>
                <w:rFonts w:cs="Arial"/>
                <w:b/>
                <w:bCs/>
              </w:rPr>
              <w:t>887.285</w:t>
            </w:r>
          </w:p>
        </w:tc>
      </w:tr>
      <w:tr w:rsidTr="006D0EDA">
        <w:tblPrEx>
          <w:tblW w:w="8832" w:type="dxa"/>
          <w:jc w:val="center"/>
          <w:tblLook w:val="04A0"/>
        </w:tblPrEx>
        <w:trPr>
          <w:trHeight w:val="379"/>
          <w:jc w:val="center"/>
        </w:trPr>
        <w:tc>
          <w:tcPr>
            <w:tcW w:w="3828" w:type="dxa"/>
            <w:shd w:val="clear" w:color="auto" w:fill="auto"/>
            <w:vAlign w:val="center"/>
          </w:tcPr>
          <w:p w:rsidR="006D0EDA" w:rsidRPr="00E95F45" w:rsidP="006D0EDA">
            <w:pPr>
              <w:rPr>
                <w:rFonts w:eastAsiaTheme="minorHAnsi" w:cs="Arial"/>
                <w:b/>
                <w:highlight w:val="yellow"/>
              </w:rPr>
            </w:pPr>
          </w:p>
        </w:tc>
        <w:tc>
          <w:tcPr>
            <w:tcW w:w="1696" w:type="dxa"/>
            <w:shd w:val="clear" w:color="auto" w:fill="auto"/>
            <w:vAlign w:val="bottom"/>
          </w:tcPr>
          <w:p w:rsidR="006D0EDA" w:rsidRPr="00E95F45" w:rsidP="006D0EDA">
            <w:pPr>
              <w:jc w:val="right"/>
              <w:rPr>
                <w:rFonts w:cs="Arial"/>
                <w:b/>
                <w:highlight w:val="yellow"/>
              </w:rPr>
            </w:pPr>
          </w:p>
        </w:tc>
        <w:tc>
          <w:tcPr>
            <w:tcW w:w="1654" w:type="dxa"/>
            <w:shd w:val="clear" w:color="auto" w:fill="auto"/>
            <w:vAlign w:val="bottom"/>
          </w:tcPr>
          <w:p w:rsidR="006D0EDA" w:rsidRPr="00E95F45" w:rsidP="006D0EDA">
            <w:pPr>
              <w:jc w:val="right"/>
              <w:rPr>
                <w:rFonts w:cs="Arial"/>
                <w:b/>
                <w:highlight w:val="yellow"/>
              </w:rPr>
            </w:pPr>
          </w:p>
        </w:tc>
        <w:tc>
          <w:tcPr>
            <w:tcW w:w="1654" w:type="dxa"/>
            <w:shd w:val="clear" w:color="auto" w:fill="auto"/>
            <w:vAlign w:val="bottom"/>
          </w:tcPr>
          <w:p w:rsidR="006D0EDA" w:rsidRPr="00E95F45" w:rsidP="006D0EDA">
            <w:pPr>
              <w:jc w:val="right"/>
              <w:rPr>
                <w:rFonts w:cs="Arial"/>
                <w:b/>
                <w:highlight w:val="yellow"/>
              </w:rPr>
            </w:pPr>
          </w:p>
        </w:tc>
      </w:tr>
      <w:tr w:rsidTr="006D0EDA">
        <w:tblPrEx>
          <w:tblW w:w="8832" w:type="dxa"/>
          <w:jc w:val="center"/>
          <w:tblLook w:val="04A0"/>
        </w:tblPrEx>
        <w:trPr>
          <w:trHeight w:val="552"/>
          <w:jc w:val="center"/>
        </w:trPr>
        <w:tc>
          <w:tcPr>
            <w:tcW w:w="3828" w:type="dxa"/>
            <w:shd w:val="clear" w:color="auto" w:fill="auto"/>
            <w:vAlign w:val="center"/>
          </w:tcPr>
          <w:p w:rsidR="000D62D7" w:rsidRPr="000D62D7" w:rsidP="000D62D7">
            <w:pPr>
              <w:spacing w:after="0"/>
              <w:jc w:val="left"/>
              <w:rPr>
                <w:rFonts w:eastAsiaTheme="minorHAnsi" w:cs="Arial"/>
                <w:b/>
              </w:rPr>
            </w:pPr>
            <w:r w:rsidRPr="000D62D7">
              <w:rPr>
                <w:rFonts w:eastAsiaTheme="minorHAnsi" w:cs="Arial"/>
                <w:b/>
              </w:rPr>
              <w:t>Funding assumed - previous MTFS</w:t>
            </w:r>
          </w:p>
        </w:tc>
        <w:tc>
          <w:tcPr>
            <w:tcW w:w="1696"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b/>
              </w:rPr>
            </w:pPr>
            <w:r w:rsidRPr="000D62D7">
              <w:rPr>
                <w:rFonts w:cs="Arial"/>
                <w:b/>
                <w:bCs/>
              </w:rPr>
              <w:t>835.346</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0D62D7">
            <w:pPr>
              <w:spacing w:after="0"/>
              <w:jc w:val="right"/>
              <w:rPr>
                <w:rFonts w:cs="Arial"/>
                <w:b/>
              </w:rPr>
            </w:pPr>
            <w:r w:rsidRPr="000D62D7">
              <w:rPr>
                <w:rFonts w:cs="Arial"/>
                <w:b/>
                <w:bCs/>
              </w:rPr>
              <w:t>858.859</w:t>
            </w:r>
          </w:p>
        </w:tc>
        <w:tc>
          <w:tcPr>
            <w:tcW w:w="1654" w:type="dxa"/>
            <w:tcBorders>
              <w:top w:val="nil"/>
              <w:left w:val="nil"/>
              <w:bottom w:val="single" w:sz="8" w:space="0" w:color="auto"/>
              <w:right w:val="single" w:sz="8" w:space="0" w:color="auto"/>
            </w:tcBorders>
            <w:shd w:val="clear" w:color="auto" w:fill="auto"/>
            <w:vAlign w:val="center"/>
          </w:tcPr>
          <w:p w:rsidR="000D62D7" w:rsidRPr="000D62D7" w:rsidP="00F04635">
            <w:pPr>
              <w:spacing w:after="0"/>
              <w:jc w:val="right"/>
              <w:rPr>
                <w:rFonts w:cs="Arial"/>
                <w:b/>
              </w:rPr>
            </w:pPr>
            <w:r w:rsidRPr="000D62D7">
              <w:rPr>
                <w:rFonts w:cs="Arial"/>
                <w:b/>
                <w:bCs/>
              </w:rPr>
              <w:t>882.3</w:t>
            </w:r>
            <w:r w:rsidR="00F04635">
              <w:rPr>
                <w:rFonts w:cs="Arial"/>
                <w:b/>
                <w:bCs/>
              </w:rPr>
              <w:t>59</w:t>
            </w:r>
          </w:p>
        </w:tc>
      </w:tr>
      <w:tr w:rsidTr="00D7421D">
        <w:tblPrEx>
          <w:tblW w:w="8832" w:type="dxa"/>
          <w:jc w:val="center"/>
          <w:tblLook w:val="04A0"/>
        </w:tblPrEx>
        <w:trPr>
          <w:trHeight w:val="552"/>
          <w:jc w:val="center"/>
        </w:trPr>
        <w:tc>
          <w:tcPr>
            <w:tcW w:w="3828" w:type="dxa"/>
            <w:shd w:val="clear" w:color="auto" w:fill="BFBFBF" w:themeFill="background1" w:themeFillShade="BF"/>
            <w:vAlign w:val="center"/>
          </w:tcPr>
          <w:p w:rsidR="003210EC" w:rsidRPr="00E95F45" w:rsidP="003210EC">
            <w:pPr>
              <w:spacing w:after="0"/>
              <w:jc w:val="left"/>
              <w:rPr>
                <w:rFonts w:eastAsiaTheme="minorHAnsi" w:cs="Arial"/>
                <w:b/>
                <w:highlight w:val="yellow"/>
              </w:rPr>
            </w:pPr>
            <w:r w:rsidRPr="003210EC">
              <w:rPr>
                <w:rFonts w:eastAsiaTheme="minorHAnsi" w:cs="Arial"/>
                <w:b/>
              </w:rPr>
              <w:t>Variance</w:t>
            </w:r>
          </w:p>
        </w:tc>
        <w:tc>
          <w:tcPr>
            <w:tcW w:w="1696" w:type="dxa"/>
            <w:tcBorders>
              <w:top w:val="nil"/>
              <w:left w:val="nil"/>
              <w:bottom w:val="single" w:sz="4" w:space="0" w:color="auto"/>
              <w:right w:val="single" w:sz="8" w:space="0" w:color="auto"/>
            </w:tcBorders>
            <w:shd w:val="clear" w:color="000000" w:fill="BFBFBF"/>
            <w:vAlign w:val="center"/>
          </w:tcPr>
          <w:p w:rsidR="003210EC" w:rsidRPr="00A90445" w:rsidP="003210EC">
            <w:pPr>
              <w:autoSpaceDE/>
              <w:autoSpaceDN/>
              <w:adjustRightInd/>
              <w:spacing w:after="0"/>
              <w:jc w:val="right"/>
              <w:rPr>
                <w:rFonts w:eastAsia="Times New Roman" w:cs="Arial"/>
                <w:b/>
                <w:lang w:eastAsia="en-GB"/>
              </w:rPr>
            </w:pPr>
            <w:r w:rsidRPr="00A90445">
              <w:rPr>
                <w:rFonts w:cs="Arial"/>
                <w:b/>
              </w:rPr>
              <w:t>6.123</w:t>
            </w:r>
          </w:p>
        </w:tc>
        <w:tc>
          <w:tcPr>
            <w:tcW w:w="1654" w:type="dxa"/>
            <w:tcBorders>
              <w:top w:val="nil"/>
              <w:left w:val="nil"/>
              <w:bottom w:val="single" w:sz="4" w:space="0" w:color="auto"/>
              <w:right w:val="single" w:sz="8" w:space="0" w:color="auto"/>
            </w:tcBorders>
            <w:shd w:val="clear" w:color="000000" w:fill="BFBFBF"/>
            <w:vAlign w:val="center"/>
          </w:tcPr>
          <w:p w:rsidR="003210EC" w:rsidRPr="00A90445" w:rsidP="003210EC">
            <w:pPr>
              <w:spacing w:after="0"/>
              <w:jc w:val="right"/>
              <w:rPr>
                <w:rFonts w:cs="Arial"/>
                <w:b/>
              </w:rPr>
            </w:pPr>
            <w:r w:rsidRPr="00A90445">
              <w:rPr>
                <w:rFonts w:cs="Arial"/>
                <w:b/>
              </w:rPr>
              <w:t>4.234</w:t>
            </w:r>
          </w:p>
        </w:tc>
        <w:tc>
          <w:tcPr>
            <w:tcW w:w="1654" w:type="dxa"/>
            <w:tcBorders>
              <w:top w:val="nil"/>
              <w:left w:val="nil"/>
              <w:bottom w:val="single" w:sz="4" w:space="0" w:color="auto"/>
              <w:right w:val="single" w:sz="8" w:space="0" w:color="auto"/>
            </w:tcBorders>
            <w:shd w:val="clear" w:color="000000" w:fill="BFBFBF"/>
            <w:vAlign w:val="center"/>
          </w:tcPr>
          <w:p w:rsidR="003210EC" w:rsidRPr="00A90445" w:rsidP="003210EC">
            <w:pPr>
              <w:spacing w:after="0"/>
              <w:jc w:val="right"/>
              <w:rPr>
                <w:rFonts w:cs="Arial"/>
                <w:b/>
              </w:rPr>
            </w:pPr>
            <w:r w:rsidRPr="00744522">
              <w:rPr>
                <w:rFonts w:cs="Arial"/>
                <w:b/>
              </w:rPr>
              <w:t>4.926</w:t>
            </w:r>
          </w:p>
        </w:tc>
      </w:tr>
      <w:tr w:rsidTr="00D7421D">
        <w:tblPrEx>
          <w:tblW w:w="8832" w:type="dxa"/>
          <w:jc w:val="center"/>
          <w:tblLook w:val="04A0"/>
        </w:tblPrEx>
        <w:trPr>
          <w:trHeight w:val="552"/>
          <w:jc w:val="center"/>
        </w:trPr>
        <w:tc>
          <w:tcPr>
            <w:tcW w:w="3828" w:type="dxa"/>
            <w:shd w:val="clear" w:color="auto" w:fill="BFBFBF" w:themeFill="background1" w:themeFillShade="BF"/>
            <w:vAlign w:val="center"/>
          </w:tcPr>
          <w:p w:rsidR="00D7421D" w:rsidRPr="003210EC" w:rsidP="003210EC">
            <w:pPr>
              <w:spacing w:after="0"/>
              <w:jc w:val="left"/>
              <w:rPr>
                <w:rFonts w:eastAsiaTheme="minorHAnsi" w:cs="Arial"/>
                <w:b/>
              </w:rPr>
            </w:pPr>
            <w:r>
              <w:rPr>
                <w:rFonts w:eastAsiaTheme="minorHAnsi" w:cs="Arial"/>
                <w:b/>
              </w:rPr>
              <w:t>Impact on financial gap</w:t>
            </w:r>
          </w:p>
        </w:tc>
        <w:tc>
          <w:tcPr>
            <w:tcW w:w="1696" w:type="dxa"/>
            <w:tcBorders>
              <w:top w:val="single" w:sz="4" w:space="0" w:color="auto"/>
              <w:left w:val="nil"/>
              <w:bottom w:val="single" w:sz="8" w:space="0" w:color="auto"/>
              <w:right w:val="single" w:sz="8" w:space="0" w:color="auto"/>
            </w:tcBorders>
            <w:shd w:val="clear" w:color="000000" w:fill="BFBFBF"/>
            <w:vAlign w:val="center"/>
          </w:tcPr>
          <w:p w:rsidR="00D7421D" w:rsidRPr="00A90445" w:rsidP="003210EC">
            <w:pPr>
              <w:autoSpaceDE/>
              <w:autoSpaceDN/>
              <w:adjustRightInd/>
              <w:spacing w:after="0"/>
              <w:jc w:val="right"/>
              <w:rPr>
                <w:rFonts w:cs="Arial"/>
                <w:b/>
              </w:rPr>
            </w:pPr>
            <w:r w:rsidRPr="00A90445">
              <w:rPr>
                <w:rFonts w:cs="Arial"/>
                <w:b/>
              </w:rPr>
              <w:t>-6.123</w:t>
            </w:r>
          </w:p>
        </w:tc>
        <w:tc>
          <w:tcPr>
            <w:tcW w:w="1654" w:type="dxa"/>
            <w:tcBorders>
              <w:top w:val="single" w:sz="4" w:space="0" w:color="auto"/>
              <w:left w:val="nil"/>
              <w:bottom w:val="single" w:sz="8" w:space="0" w:color="auto"/>
              <w:right w:val="single" w:sz="8" w:space="0" w:color="auto"/>
            </w:tcBorders>
            <w:shd w:val="clear" w:color="000000" w:fill="BFBFBF"/>
            <w:vAlign w:val="center"/>
          </w:tcPr>
          <w:p w:rsidR="00D7421D" w:rsidRPr="00A90445" w:rsidP="003210EC">
            <w:pPr>
              <w:spacing w:after="0"/>
              <w:jc w:val="right"/>
              <w:rPr>
                <w:rFonts w:cs="Arial"/>
                <w:b/>
              </w:rPr>
            </w:pPr>
            <w:r w:rsidRPr="00A90445">
              <w:rPr>
                <w:rFonts w:cs="Arial"/>
                <w:b/>
              </w:rPr>
              <w:t>1.889</w:t>
            </w:r>
          </w:p>
        </w:tc>
        <w:tc>
          <w:tcPr>
            <w:tcW w:w="1654" w:type="dxa"/>
            <w:tcBorders>
              <w:top w:val="single" w:sz="4" w:space="0" w:color="auto"/>
              <w:left w:val="nil"/>
              <w:bottom w:val="single" w:sz="8" w:space="0" w:color="auto"/>
              <w:right w:val="single" w:sz="8" w:space="0" w:color="auto"/>
            </w:tcBorders>
            <w:shd w:val="clear" w:color="000000" w:fill="BFBFBF"/>
            <w:vAlign w:val="center"/>
          </w:tcPr>
          <w:p w:rsidR="00D7421D" w:rsidRPr="00A90445" w:rsidP="00F04635">
            <w:pPr>
              <w:spacing w:after="0"/>
              <w:jc w:val="right"/>
              <w:rPr>
                <w:rFonts w:cs="Arial"/>
                <w:b/>
              </w:rPr>
            </w:pPr>
            <w:r w:rsidRPr="00A90445">
              <w:rPr>
                <w:rFonts w:cs="Arial"/>
                <w:b/>
              </w:rPr>
              <w:t>-0.69</w:t>
            </w:r>
            <w:r w:rsidRPr="00A90445" w:rsidR="00F04635">
              <w:rPr>
                <w:rFonts w:cs="Arial"/>
                <w:b/>
              </w:rPr>
              <w:t>2</w:t>
            </w:r>
          </w:p>
        </w:tc>
      </w:tr>
    </w:tbl>
    <w:p w:rsidR="006D0EDA" w:rsidRPr="00E95F45" w:rsidP="006D0EDA">
      <w:pPr>
        <w:spacing w:after="0"/>
        <w:rPr>
          <w:rFonts w:cs="Arial"/>
          <w:b/>
          <w:highlight w:val="yellow"/>
        </w:rPr>
      </w:pPr>
    </w:p>
    <w:p w:rsidR="006D0EDA" w:rsidRPr="003210EC" w:rsidP="006D0EDA">
      <w:pPr>
        <w:spacing w:after="0"/>
        <w:rPr>
          <w:rFonts w:cs="Arial"/>
          <w:b/>
        </w:rPr>
      </w:pPr>
      <w:r w:rsidRPr="003210EC">
        <w:rPr>
          <w:rFonts w:cs="Arial"/>
          <w:b/>
        </w:rPr>
        <w:t xml:space="preserve">2.1 Council tax and business rates </w:t>
      </w:r>
    </w:p>
    <w:p w:rsidR="006D0EDA" w:rsidRPr="003210EC" w:rsidP="006D0EDA">
      <w:pPr>
        <w:spacing w:after="0"/>
        <w:rPr>
          <w:rFonts w:cs="Arial"/>
        </w:rPr>
      </w:pPr>
    </w:p>
    <w:p w:rsidR="006D0EDA" w:rsidRPr="003210EC" w:rsidP="006D0EDA">
      <w:pPr>
        <w:spacing w:after="0"/>
        <w:rPr>
          <w:rFonts w:cs="Arial"/>
          <w:b/>
          <w:i/>
        </w:rPr>
      </w:pPr>
      <w:r w:rsidRPr="003210EC">
        <w:rPr>
          <w:rFonts w:cs="Arial"/>
          <w:b/>
          <w:i/>
        </w:rPr>
        <w:t>Council tax</w:t>
      </w:r>
    </w:p>
    <w:p w:rsidR="006D0EDA" w:rsidP="006D0EDA">
      <w:pPr>
        <w:spacing w:after="0"/>
        <w:rPr>
          <w:rFonts w:cs="Arial"/>
        </w:rPr>
      </w:pPr>
      <w:r w:rsidRPr="003210EC">
        <w:rPr>
          <w:rFonts w:cs="Arial"/>
        </w:rPr>
        <w:t>The MTFS currently reflects the following assumptions in relation to the county council's council tax increases as previously reported to cabinet, however this is a decision for full council to make each year when setting the budget.</w:t>
      </w:r>
    </w:p>
    <w:p w:rsidR="001817FC" w:rsidRPr="003210EC" w:rsidP="006D0EDA">
      <w:pPr>
        <w:spacing w:after="0"/>
        <w:rPr>
          <w:rFonts w:cs="Arial"/>
        </w:rPr>
      </w:pPr>
    </w:p>
    <w:p w:rsidR="006D0EDA" w:rsidRPr="003210EC" w:rsidP="006D0EDA">
      <w:pPr>
        <w:spacing w:after="0"/>
        <w:rPr>
          <w:rFonts w:cs="Arial"/>
          <w:b/>
          <w:i/>
          <w:u w:val="single"/>
        </w:rPr>
      </w:pPr>
      <w:r w:rsidRPr="003210EC">
        <w:rPr>
          <w:rFonts w:cs="Arial"/>
          <w:b/>
          <w:i/>
          <w:u w:val="single"/>
        </w:rPr>
        <w:t>Table 3</w:t>
      </w:r>
    </w:p>
    <w:tbl>
      <w:tblPr>
        <w:tblStyle w:val="TableGrid11"/>
        <w:tblW w:w="0" w:type="auto"/>
        <w:jc w:val="center"/>
        <w:tblLook w:val="04A0"/>
      </w:tblPr>
      <w:tblGrid>
        <w:gridCol w:w="1129"/>
        <w:gridCol w:w="1843"/>
        <w:gridCol w:w="1843"/>
        <w:gridCol w:w="1701"/>
      </w:tblGrid>
      <w:tr w:rsidTr="006D0EDA">
        <w:tblPrEx>
          <w:tblW w:w="0" w:type="auto"/>
          <w:jc w:val="center"/>
          <w:tblLook w:val="04A0"/>
        </w:tblPrEx>
        <w:trPr>
          <w:jc w:val="center"/>
        </w:trPr>
        <w:tc>
          <w:tcPr>
            <w:tcW w:w="1129" w:type="dxa"/>
          </w:tcPr>
          <w:p w:rsidR="006D0EDA" w:rsidRPr="003210EC" w:rsidP="006D0EDA">
            <w:pPr>
              <w:spacing w:after="0"/>
              <w:rPr>
                <w:rFonts w:cs="Arial"/>
              </w:rPr>
            </w:pPr>
          </w:p>
        </w:tc>
        <w:tc>
          <w:tcPr>
            <w:tcW w:w="1843" w:type="dxa"/>
            <w:vAlign w:val="center"/>
          </w:tcPr>
          <w:p w:rsidR="006D0EDA" w:rsidRPr="003210EC" w:rsidP="006D0EDA">
            <w:pPr>
              <w:spacing w:after="0"/>
              <w:jc w:val="center"/>
              <w:rPr>
                <w:rFonts w:cs="Arial"/>
              </w:rPr>
            </w:pPr>
            <w:r w:rsidRPr="003210EC">
              <w:rPr>
                <w:rFonts w:cs="Arial"/>
              </w:rPr>
              <w:t>Council tax increase (no referendum required)</w:t>
            </w:r>
          </w:p>
        </w:tc>
        <w:tc>
          <w:tcPr>
            <w:tcW w:w="1843" w:type="dxa"/>
            <w:vAlign w:val="center"/>
          </w:tcPr>
          <w:p w:rsidR="006D0EDA" w:rsidRPr="003210EC" w:rsidP="006D0EDA">
            <w:pPr>
              <w:spacing w:after="0"/>
              <w:jc w:val="center"/>
              <w:rPr>
                <w:rFonts w:cs="Arial"/>
              </w:rPr>
            </w:pPr>
            <w:r w:rsidRPr="003210EC">
              <w:rPr>
                <w:rFonts w:cs="Arial"/>
              </w:rPr>
              <w:t>Adult social care precept</w:t>
            </w:r>
          </w:p>
        </w:tc>
        <w:tc>
          <w:tcPr>
            <w:tcW w:w="1701" w:type="dxa"/>
            <w:vAlign w:val="center"/>
          </w:tcPr>
          <w:p w:rsidR="006D0EDA" w:rsidRPr="003210EC" w:rsidP="006D0EDA">
            <w:pPr>
              <w:spacing w:after="0"/>
              <w:jc w:val="center"/>
              <w:rPr>
                <w:rFonts w:cs="Arial"/>
              </w:rPr>
            </w:pPr>
            <w:r w:rsidRPr="003210EC">
              <w:rPr>
                <w:rFonts w:cs="Arial"/>
              </w:rPr>
              <w:t>Total council tax increase</w:t>
            </w:r>
          </w:p>
        </w:tc>
      </w:tr>
      <w:tr w:rsidTr="006D0EDA">
        <w:tblPrEx>
          <w:tblW w:w="0" w:type="auto"/>
          <w:jc w:val="center"/>
          <w:tblLook w:val="04A0"/>
        </w:tblPrEx>
        <w:trPr>
          <w:jc w:val="center"/>
        </w:trPr>
        <w:tc>
          <w:tcPr>
            <w:tcW w:w="1129" w:type="dxa"/>
          </w:tcPr>
          <w:p w:rsidR="006D0EDA" w:rsidRPr="003210EC" w:rsidP="006D0EDA">
            <w:pPr>
              <w:spacing w:after="0"/>
              <w:rPr>
                <w:rFonts w:cs="Arial"/>
              </w:rPr>
            </w:pPr>
            <w:r w:rsidRPr="003210EC">
              <w:rPr>
                <w:rFonts w:cs="Arial"/>
              </w:rPr>
              <w:t>2021/22</w:t>
            </w:r>
          </w:p>
        </w:tc>
        <w:tc>
          <w:tcPr>
            <w:tcW w:w="1843" w:type="dxa"/>
          </w:tcPr>
          <w:p w:rsidR="006D0EDA" w:rsidRPr="003210EC" w:rsidP="006D0EDA">
            <w:pPr>
              <w:spacing w:after="0"/>
              <w:jc w:val="center"/>
              <w:rPr>
                <w:rFonts w:cs="Arial"/>
              </w:rPr>
            </w:pPr>
            <w:r w:rsidRPr="003210EC">
              <w:rPr>
                <w:rFonts w:cs="Arial"/>
              </w:rPr>
              <w:t>1.99%</w:t>
            </w:r>
          </w:p>
        </w:tc>
        <w:tc>
          <w:tcPr>
            <w:tcW w:w="1843" w:type="dxa"/>
          </w:tcPr>
          <w:p w:rsidR="006D0EDA" w:rsidRPr="003210EC" w:rsidP="006D0EDA">
            <w:pPr>
              <w:spacing w:after="0"/>
              <w:jc w:val="center"/>
              <w:rPr>
                <w:rFonts w:cs="Arial"/>
              </w:rPr>
            </w:pPr>
            <w:r w:rsidRPr="003210EC">
              <w:rPr>
                <w:rFonts w:cs="Arial"/>
              </w:rPr>
              <w:t>0.00%</w:t>
            </w:r>
          </w:p>
        </w:tc>
        <w:tc>
          <w:tcPr>
            <w:tcW w:w="1701" w:type="dxa"/>
          </w:tcPr>
          <w:p w:rsidR="006D0EDA" w:rsidRPr="003210EC" w:rsidP="006D0EDA">
            <w:pPr>
              <w:spacing w:after="0"/>
              <w:jc w:val="center"/>
              <w:rPr>
                <w:rFonts w:cs="Arial"/>
              </w:rPr>
            </w:pPr>
            <w:r w:rsidRPr="003210EC">
              <w:rPr>
                <w:rFonts w:cs="Arial"/>
              </w:rPr>
              <w:t>1.99%</w:t>
            </w:r>
          </w:p>
        </w:tc>
      </w:tr>
      <w:tr w:rsidTr="006D0EDA">
        <w:tblPrEx>
          <w:tblW w:w="0" w:type="auto"/>
          <w:jc w:val="center"/>
          <w:tblLook w:val="04A0"/>
        </w:tblPrEx>
        <w:trPr>
          <w:jc w:val="center"/>
        </w:trPr>
        <w:tc>
          <w:tcPr>
            <w:tcW w:w="1129" w:type="dxa"/>
          </w:tcPr>
          <w:p w:rsidR="006D0EDA" w:rsidRPr="003210EC" w:rsidP="006D0EDA">
            <w:pPr>
              <w:spacing w:after="0"/>
              <w:rPr>
                <w:rFonts w:cs="Arial"/>
              </w:rPr>
            </w:pPr>
            <w:r w:rsidRPr="003210EC">
              <w:rPr>
                <w:rFonts w:cs="Arial"/>
              </w:rPr>
              <w:t>2022/23</w:t>
            </w:r>
          </w:p>
        </w:tc>
        <w:tc>
          <w:tcPr>
            <w:tcW w:w="1843" w:type="dxa"/>
          </w:tcPr>
          <w:p w:rsidR="006D0EDA" w:rsidRPr="003210EC" w:rsidP="006D0EDA">
            <w:pPr>
              <w:spacing w:after="0"/>
              <w:jc w:val="center"/>
              <w:rPr>
                <w:rFonts w:cs="Arial"/>
              </w:rPr>
            </w:pPr>
            <w:r w:rsidRPr="003210EC">
              <w:rPr>
                <w:rFonts w:cs="Arial"/>
              </w:rPr>
              <w:t>1.99%</w:t>
            </w:r>
          </w:p>
        </w:tc>
        <w:tc>
          <w:tcPr>
            <w:tcW w:w="1843" w:type="dxa"/>
          </w:tcPr>
          <w:p w:rsidR="006D0EDA" w:rsidRPr="003210EC" w:rsidP="006D0EDA">
            <w:pPr>
              <w:spacing w:after="0"/>
              <w:jc w:val="center"/>
              <w:rPr>
                <w:rFonts w:cs="Arial"/>
              </w:rPr>
            </w:pPr>
            <w:r w:rsidRPr="003210EC">
              <w:rPr>
                <w:rFonts w:cs="Arial"/>
              </w:rPr>
              <w:t>0.00%</w:t>
            </w:r>
          </w:p>
        </w:tc>
        <w:tc>
          <w:tcPr>
            <w:tcW w:w="1701" w:type="dxa"/>
          </w:tcPr>
          <w:p w:rsidR="006D0EDA" w:rsidRPr="003210EC" w:rsidP="006D0EDA">
            <w:pPr>
              <w:spacing w:after="0"/>
              <w:jc w:val="center"/>
              <w:rPr>
                <w:rFonts w:cs="Arial"/>
              </w:rPr>
            </w:pPr>
            <w:r w:rsidRPr="003210EC">
              <w:rPr>
                <w:rFonts w:cs="Arial"/>
              </w:rPr>
              <w:t>1.99%</w:t>
            </w:r>
          </w:p>
        </w:tc>
      </w:tr>
      <w:tr w:rsidTr="006D0EDA">
        <w:tblPrEx>
          <w:tblW w:w="0" w:type="auto"/>
          <w:jc w:val="center"/>
          <w:tblLook w:val="04A0"/>
        </w:tblPrEx>
        <w:trPr>
          <w:jc w:val="center"/>
        </w:trPr>
        <w:tc>
          <w:tcPr>
            <w:tcW w:w="1129" w:type="dxa"/>
          </w:tcPr>
          <w:p w:rsidR="006D0EDA" w:rsidRPr="003210EC" w:rsidP="006D0EDA">
            <w:pPr>
              <w:spacing w:after="0"/>
              <w:rPr>
                <w:rFonts w:cs="Arial"/>
              </w:rPr>
            </w:pPr>
            <w:r w:rsidRPr="003210EC">
              <w:rPr>
                <w:rFonts w:cs="Arial"/>
              </w:rPr>
              <w:t>2023/24</w:t>
            </w:r>
          </w:p>
        </w:tc>
        <w:tc>
          <w:tcPr>
            <w:tcW w:w="1843" w:type="dxa"/>
          </w:tcPr>
          <w:p w:rsidR="006D0EDA" w:rsidRPr="003210EC" w:rsidP="006D0EDA">
            <w:pPr>
              <w:spacing w:after="0"/>
              <w:jc w:val="center"/>
              <w:rPr>
                <w:rFonts w:cs="Arial"/>
              </w:rPr>
            </w:pPr>
            <w:r w:rsidRPr="003210EC">
              <w:rPr>
                <w:rFonts w:cs="Arial"/>
              </w:rPr>
              <w:t>1.99%</w:t>
            </w:r>
          </w:p>
        </w:tc>
        <w:tc>
          <w:tcPr>
            <w:tcW w:w="1843" w:type="dxa"/>
          </w:tcPr>
          <w:p w:rsidR="006D0EDA" w:rsidRPr="003210EC" w:rsidP="006D0EDA">
            <w:pPr>
              <w:spacing w:after="0"/>
              <w:jc w:val="center"/>
              <w:rPr>
                <w:rFonts w:cs="Arial"/>
              </w:rPr>
            </w:pPr>
            <w:r w:rsidRPr="003210EC">
              <w:rPr>
                <w:rFonts w:cs="Arial"/>
              </w:rPr>
              <w:t>0.00%</w:t>
            </w:r>
          </w:p>
        </w:tc>
        <w:tc>
          <w:tcPr>
            <w:tcW w:w="1701" w:type="dxa"/>
          </w:tcPr>
          <w:p w:rsidR="006D0EDA" w:rsidRPr="003210EC" w:rsidP="006D0EDA">
            <w:pPr>
              <w:spacing w:after="0"/>
              <w:jc w:val="center"/>
              <w:rPr>
                <w:rFonts w:cs="Arial"/>
              </w:rPr>
            </w:pPr>
            <w:r w:rsidRPr="003210EC">
              <w:rPr>
                <w:rFonts w:cs="Arial"/>
              </w:rPr>
              <w:t>1.99%</w:t>
            </w:r>
          </w:p>
        </w:tc>
      </w:tr>
      <w:tr w:rsidTr="006D0EDA">
        <w:tblPrEx>
          <w:tblW w:w="0" w:type="auto"/>
          <w:jc w:val="center"/>
          <w:tblLook w:val="04A0"/>
        </w:tblPrEx>
        <w:trPr>
          <w:jc w:val="center"/>
        </w:trPr>
        <w:tc>
          <w:tcPr>
            <w:tcW w:w="1129" w:type="dxa"/>
          </w:tcPr>
          <w:p w:rsidR="006D0EDA" w:rsidRPr="003210EC" w:rsidP="006D0EDA">
            <w:pPr>
              <w:spacing w:after="0"/>
              <w:rPr>
                <w:rFonts w:cs="Arial"/>
              </w:rPr>
            </w:pPr>
            <w:r w:rsidRPr="003210EC">
              <w:rPr>
                <w:rFonts w:cs="Arial"/>
              </w:rPr>
              <w:t>2024/25</w:t>
            </w:r>
          </w:p>
        </w:tc>
        <w:tc>
          <w:tcPr>
            <w:tcW w:w="1843" w:type="dxa"/>
          </w:tcPr>
          <w:p w:rsidR="006D0EDA" w:rsidRPr="003210EC" w:rsidP="006D0EDA">
            <w:pPr>
              <w:spacing w:after="0"/>
              <w:jc w:val="center"/>
              <w:rPr>
                <w:rFonts w:cs="Arial"/>
              </w:rPr>
            </w:pPr>
            <w:r w:rsidRPr="003210EC">
              <w:rPr>
                <w:rFonts w:cs="Arial"/>
              </w:rPr>
              <w:t>1.99%</w:t>
            </w:r>
          </w:p>
        </w:tc>
        <w:tc>
          <w:tcPr>
            <w:tcW w:w="1843" w:type="dxa"/>
          </w:tcPr>
          <w:p w:rsidR="006D0EDA" w:rsidRPr="003210EC" w:rsidP="006D0EDA">
            <w:pPr>
              <w:spacing w:after="0"/>
              <w:jc w:val="center"/>
              <w:rPr>
                <w:rFonts w:cs="Arial"/>
              </w:rPr>
            </w:pPr>
            <w:r w:rsidRPr="003210EC">
              <w:rPr>
                <w:rFonts w:cs="Arial"/>
              </w:rPr>
              <w:t>0.00%</w:t>
            </w:r>
          </w:p>
        </w:tc>
        <w:tc>
          <w:tcPr>
            <w:tcW w:w="1701" w:type="dxa"/>
          </w:tcPr>
          <w:p w:rsidR="006D0EDA" w:rsidRPr="003210EC" w:rsidP="006D0EDA">
            <w:pPr>
              <w:spacing w:after="0"/>
              <w:jc w:val="center"/>
              <w:rPr>
                <w:rFonts w:cs="Arial"/>
              </w:rPr>
            </w:pPr>
            <w:r w:rsidRPr="003210EC">
              <w:rPr>
                <w:rFonts w:cs="Arial"/>
              </w:rPr>
              <w:t>1.99%</w:t>
            </w:r>
          </w:p>
        </w:tc>
      </w:tr>
    </w:tbl>
    <w:p w:rsidR="006D0EDA" w:rsidRPr="003210EC" w:rsidP="006D0EDA">
      <w:pPr>
        <w:spacing w:after="0"/>
        <w:rPr>
          <w:rFonts w:cs="Arial"/>
        </w:rPr>
      </w:pPr>
    </w:p>
    <w:p w:rsidR="006D0EDA" w:rsidRPr="003210EC" w:rsidP="006D0EDA">
      <w:pPr>
        <w:spacing w:after="0"/>
        <w:rPr>
          <w:rFonts w:cs="Arial"/>
          <w:u w:val="single"/>
        </w:rPr>
      </w:pPr>
      <w:r w:rsidRPr="003210EC">
        <w:rPr>
          <w:rFonts w:cs="Arial"/>
        </w:rPr>
        <w:t>It is assumed the maximum increase that we will be able to apply to council tax, without a referendum, will be 1.99%. Any decisions not to increase council tax in line with the assumptions above would increase the financial gap; every 1% in council tax yields circa £5.000m.</w:t>
      </w:r>
      <w:r w:rsidRPr="003210EC">
        <w:rPr>
          <w:rFonts w:cs="Arial"/>
          <w:u w:val="single"/>
        </w:rPr>
        <w:t xml:space="preserve"> </w:t>
      </w:r>
    </w:p>
    <w:p w:rsidR="006D0EDA" w:rsidRPr="003210EC" w:rsidP="006D0EDA">
      <w:pPr>
        <w:spacing w:after="0"/>
        <w:rPr>
          <w:rFonts w:cs="Arial"/>
          <w:b/>
        </w:rPr>
      </w:pPr>
    </w:p>
    <w:p w:rsidR="006D0EDA" w:rsidRPr="003210EC" w:rsidP="006D0EDA">
      <w:pPr>
        <w:spacing w:after="0"/>
        <w:rPr>
          <w:rFonts w:cs="Arial"/>
        </w:rPr>
      </w:pPr>
      <w:r>
        <w:rPr>
          <w:rFonts w:cs="Arial"/>
        </w:rPr>
        <w:t>For 2021/</w:t>
      </w:r>
      <w:r w:rsidRPr="003210EC" w:rsidR="003C12EA">
        <w:rPr>
          <w:rFonts w:cs="Arial"/>
        </w:rPr>
        <w:t xml:space="preserve">22, no tax base increase has been built in to the forecast, but returns to 1.7% increase in the years following. This has been assumed based on historical average increases.  </w:t>
      </w:r>
    </w:p>
    <w:p w:rsidR="006D0EDA" w:rsidRPr="003210EC" w:rsidP="006D0EDA">
      <w:pPr>
        <w:spacing w:after="0"/>
        <w:rPr>
          <w:rFonts w:cs="Arial"/>
        </w:rPr>
      </w:pPr>
    </w:p>
    <w:p w:rsidR="006D0EDA" w:rsidRPr="003210EC" w:rsidP="006D0EDA">
      <w:pPr>
        <w:spacing w:after="0"/>
        <w:rPr>
          <w:rFonts w:cs="Arial"/>
        </w:rPr>
      </w:pPr>
      <w:r w:rsidRPr="003210EC">
        <w:rPr>
          <w:rFonts w:cs="Arial"/>
        </w:rPr>
        <w:t>There is no assumption of an Adult Social Care precept for the entirety of the forecast.</w:t>
      </w:r>
    </w:p>
    <w:p w:rsidR="006D0EDA" w:rsidRPr="00E95F45" w:rsidP="006D0EDA">
      <w:pPr>
        <w:spacing w:after="0"/>
        <w:rPr>
          <w:rFonts w:cs="Arial"/>
          <w:b/>
          <w:highlight w:val="yellow"/>
        </w:rPr>
      </w:pPr>
    </w:p>
    <w:p w:rsidR="006D0EDA" w:rsidRPr="003210EC" w:rsidP="006D0EDA">
      <w:pPr>
        <w:spacing w:after="0"/>
        <w:rPr>
          <w:rFonts w:cs="Arial"/>
          <w:b/>
          <w:i/>
        </w:rPr>
      </w:pPr>
      <w:r w:rsidRPr="003210EC">
        <w:rPr>
          <w:rFonts w:cs="Arial"/>
          <w:b/>
          <w:i/>
        </w:rPr>
        <w:t>Business rates</w:t>
      </w:r>
    </w:p>
    <w:p w:rsidR="006D0EDA" w:rsidRPr="003210EC" w:rsidP="006D0EDA">
      <w:pPr>
        <w:spacing w:after="0"/>
        <w:rPr>
          <w:rFonts w:cs="Arial"/>
        </w:rPr>
      </w:pPr>
      <w:r w:rsidRPr="003210EC">
        <w:rPr>
          <w:rFonts w:cs="Arial"/>
        </w:rPr>
        <w:t>Business rates income is a significant portion of funding to local authorities. The baseline is an assessment of the business rate income required to meet service needs. For the county council, the amount we anticipate to receive from the business rates collected in the area is less than our assessed need and therefore we receive a top up grant.   Previously, we have also built in a small amount of growth into the MTFS for our local share at 0.5%.</w:t>
      </w:r>
    </w:p>
    <w:p w:rsidR="006D0EDA" w:rsidRPr="003210EC" w:rsidP="006D0EDA">
      <w:pPr>
        <w:tabs>
          <w:tab w:val="left" w:pos="567"/>
          <w:tab w:val="left" w:pos="1134"/>
        </w:tabs>
        <w:spacing w:after="0"/>
        <w:rPr>
          <w:rFonts w:cs="Arial"/>
        </w:rPr>
      </w:pPr>
    </w:p>
    <w:p w:rsidR="006D0EDA" w:rsidRPr="003210EC" w:rsidP="006D0EDA">
      <w:pPr>
        <w:tabs>
          <w:tab w:val="left" w:pos="567"/>
          <w:tab w:val="left" w:pos="1134"/>
        </w:tabs>
        <w:spacing w:after="0"/>
        <w:rPr>
          <w:rFonts w:cs="Arial"/>
        </w:rPr>
      </w:pPr>
      <w:r w:rsidRPr="003210EC">
        <w:rPr>
          <w:rFonts w:cs="Arial"/>
        </w:rPr>
        <w:t>As</w:t>
      </w:r>
      <w:r w:rsidR="005662D1">
        <w:rPr>
          <w:rFonts w:cs="Arial"/>
        </w:rPr>
        <w:t xml:space="preserve"> a result of the impact of Covid</w:t>
      </w:r>
      <w:r w:rsidR="001817FC">
        <w:rPr>
          <w:rFonts w:cs="Arial"/>
        </w:rPr>
        <w:t>-</w:t>
      </w:r>
      <w:r w:rsidRPr="003210EC">
        <w:rPr>
          <w:rFonts w:cs="Arial"/>
        </w:rPr>
        <w:t xml:space="preserve">19, the </w:t>
      </w:r>
      <w:r w:rsidR="001817FC">
        <w:rPr>
          <w:rFonts w:cs="Arial"/>
        </w:rPr>
        <w:t xml:space="preserve">national review of </w:t>
      </w:r>
      <w:r w:rsidRPr="003210EC">
        <w:rPr>
          <w:rFonts w:cs="Arial"/>
        </w:rPr>
        <w:t xml:space="preserve">business rates has been delayed and so it is assumed that 2021/22 will effectively be a 'rollover' of 2020/21 – a continuation of the 50% scheme, with the 75% scheme forecast to be in place from 2022/23 onwards.    </w:t>
      </w:r>
    </w:p>
    <w:p w:rsidR="006D0EDA" w:rsidRPr="003210EC" w:rsidP="006D0EDA">
      <w:pPr>
        <w:spacing w:after="0"/>
        <w:rPr>
          <w:rFonts w:cs="Arial"/>
        </w:rPr>
      </w:pPr>
    </w:p>
    <w:p w:rsidR="006D0EDA" w:rsidRPr="003210EC" w:rsidP="006D0EDA">
      <w:pPr>
        <w:tabs>
          <w:tab w:val="left" w:pos="567"/>
          <w:tab w:val="left" w:pos="1134"/>
        </w:tabs>
        <w:spacing w:after="0"/>
        <w:rPr>
          <w:rFonts w:cs="Arial"/>
        </w:rPr>
      </w:pPr>
      <w:r w:rsidRPr="003210EC">
        <w:rPr>
          <w:rFonts w:cs="Arial"/>
        </w:rPr>
        <w:t xml:space="preserve">No growth or uplift has been forecast for 2021/22.  0.5% growth has been built in to the local share forecast from 2022/23 onwards. </w:t>
      </w:r>
    </w:p>
    <w:p w:rsidR="006D0EDA" w:rsidRPr="003210EC" w:rsidP="00072212">
      <w:pPr>
        <w:spacing w:after="0"/>
        <w:rPr>
          <w:b/>
        </w:rPr>
      </w:pPr>
    </w:p>
    <w:p w:rsidR="006D0EDA" w:rsidRPr="001817FC" w:rsidP="00072212">
      <w:pPr>
        <w:spacing w:after="0"/>
        <w:rPr>
          <w:b/>
          <w:i/>
        </w:rPr>
      </w:pPr>
      <w:r w:rsidRPr="001817FC">
        <w:rPr>
          <w:b/>
          <w:i/>
        </w:rPr>
        <w:t>Collection Fund</w:t>
      </w:r>
    </w:p>
    <w:p w:rsidR="006D0EDA" w:rsidRPr="003210EC" w:rsidP="00072212">
      <w:pPr>
        <w:spacing w:after="0"/>
        <w:rPr>
          <w:rFonts w:cs="Arial"/>
        </w:rPr>
      </w:pPr>
      <w:r w:rsidRPr="003210EC">
        <w:rPr>
          <w:rFonts w:cs="Arial"/>
        </w:rPr>
        <w:t>One of the measures announced by the Government to try and mitigate the budget pressures on local authorities as a result of collection fund deficits was that any deficit for 2020/21 will be repaid over the following three years.</w:t>
      </w:r>
    </w:p>
    <w:p w:rsidR="006D0EDA" w:rsidRPr="003210EC" w:rsidP="006D0EDA">
      <w:pPr>
        <w:spacing w:after="0"/>
        <w:rPr>
          <w:rFonts w:cs="Arial"/>
        </w:rPr>
      </w:pPr>
    </w:p>
    <w:p w:rsidR="006D0EDA" w:rsidP="006D0EDA">
      <w:pPr>
        <w:spacing w:after="0"/>
        <w:rPr>
          <w:rFonts w:cs="Arial"/>
        </w:rPr>
      </w:pPr>
      <w:r w:rsidRPr="003210EC">
        <w:rPr>
          <w:rFonts w:cs="Arial"/>
        </w:rPr>
        <w:t>The latest information received from districts suggests that there will be a c£</w:t>
      </w:r>
      <w:r w:rsidRPr="003210EC" w:rsidR="003210EC">
        <w:rPr>
          <w:rFonts w:cs="Arial"/>
        </w:rPr>
        <w:t>20.</w:t>
      </w:r>
      <w:r w:rsidR="005662D1">
        <w:rPr>
          <w:rFonts w:cs="Arial"/>
        </w:rPr>
        <w:t>7</w:t>
      </w:r>
      <w:r w:rsidRPr="003210EC">
        <w:rPr>
          <w:rFonts w:cs="Arial"/>
        </w:rPr>
        <w:t>m pressure for LCC as a result of the collection fund issue and thus a c£</w:t>
      </w:r>
      <w:r w:rsidRPr="003210EC" w:rsidR="003210EC">
        <w:rPr>
          <w:rFonts w:cs="Arial"/>
        </w:rPr>
        <w:t>6.9</w:t>
      </w:r>
      <w:r w:rsidRPr="003210EC">
        <w:rPr>
          <w:rFonts w:cs="Arial"/>
        </w:rPr>
        <w:t>m in year pressure for financial years 2021/22-2023/24.</w:t>
      </w:r>
      <w:r w:rsidR="001817FC">
        <w:rPr>
          <w:rFonts w:cs="Arial"/>
        </w:rPr>
        <w:t xml:space="preserve"> This position is based upon the latest information provided by district councils as part of regular returns to the Government. This will need to be closely monitored as changes in relation to restrictions, such as the movement to Tier 3 are implemented and have an impact on businesses. </w:t>
      </w:r>
    </w:p>
    <w:p w:rsidR="008737DD" w:rsidP="006D0EDA">
      <w:pPr>
        <w:spacing w:after="0"/>
        <w:rPr>
          <w:rFonts w:cs="Arial"/>
        </w:rPr>
      </w:pPr>
    </w:p>
    <w:p w:rsidR="008737DD" w:rsidRPr="008737DD" w:rsidP="008737DD">
      <w:pPr>
        <w:spacing w:after="0"/>
        <w:rPr>
          <w:rFonts w:cs="Arial"/>
        </w:rPr>
      </w:pPr>
      <w:r w:rsidRPr="008737DD">
        <w:rPr>
          <w:rFonts w:cs="Arial"/>
        </w:rPr>
        <w:t>The funding aspects for future years' collection fund deficits are yet to be revealed.</w:t>
      </w:r>
    </w:p>
    <w:p w:rsidR="0030052C" w:rsidP="006D0EDA">
      <w:pPr>
        <w:spacing w:after="0"/>
        <w:rPr>
          <w:rFonts w:cs="Arial"/>
        </w:rPr>
      </w:pPr>
    </w:p>
    <w:p w:rsidR="0030052C" w:rsidRPr="001817FC" w:rsidP="006D0EDA">
      <w:pPr>
        <w:spacing w:after="0"/>
        <w:rPr>
          <w:rFonts w:cs="Arial"/>
          <w:i/>
        </w:rPr>
      </w:pPr>
      <w:r w:rsidRPr="001817FC">
        <w:rPr>
          <w:rFonts w:cs="Arial"/>
          <w:b/>
          <w:i/>
        </w:rPr>
        <w:t>Capital Receipts</w:t>
      </w:r>
    </w:p>
    <w:p w:rsidR="00D23064" w:rsidRPr="0059095C" w:rsidP="00D23064">
      <w:pPr>
        <w:tabs>
          <w:tab w:val="left" w:pos="567"/>
          <w:tab w:val="left" w:pos="1134"/>
        </w:tabs>
        <w:spacing w:after="0"/>
        <w:rPr>
          <w:rFonts w:cs="Arial"/>
        </w:rPr>
      </w:pPr>
      <w:r w:rsidRPr="0059095C">
        <w:t>In April 2016 the government introduced the flexibility for capital receipts to be used to fund revenue expenditure that is designed to generate ongoing revenue savings or service improvements. This flexibility is currently available until 2021/22.</w:t>
      </w:r>
      <w:r w:rsidRPr="0059095C">
        <w:rPr>
          <w:rFonts w:cs="Arial"/>
        </w:rPr>
        <w:t xml:space="preserve"> </w:t>
      </w:r>
    </w:p>
    <w:p w:rsidR="00D23064" w:rsidRPr="0059095C" w:rsidP="00D23064">
      <w:pPr>
        <w:tabs>
          <w:tab w:val="left" w:pos="567"/>
          <w:tab w:val="left" w:pos="1134"/>
        </w:tabs>
        <w:spacing w:after="0"/>
        <w:rPr>
          <w:rFonts w:cs="Arial"/>
        </w:rPr>
      </w:pPr>
    </w:p>
    <w:p w:rsidR="006D0EDA" w:rsidP="001567FD">
      <w:pPr>
        <w:tabs>
          <w:tab w:val="left" w:pos="567"/>
          <w:tab w:val="left" w:pos="1134"/>
        </w:tabs>
        <w:spacing w:after="0"/>
        <w:rPr>
          <w:rFonts w:cs="Arial"/>
        </w:rPr>
      </w:pPr>
      <w:r>
        <w:rPr>
          <w:rFonts w:cs="Arial"/>
        </w:rPr>
        <w:t xml:space="preserve">The MTFS includes </w:t>
      </w:r>
      <w:r w:rsidR="00D23064">
        <w:rPr>
          <w:rFonts w:cs="Arial"/>
        </w:rPr>
        <w:t>£2.5</w:t>
      </w:r>
      <w:r w:rsidR="001A5C91">
        <w:rPr>
          <w:rFonts w:cs="Arial"/>
        </w:rPr>
        <w:t>00</w:t>
      </w:r>
      <w:r w:rsidR="00D23064">
        <w:rPr>
          <w:rFonts w:cs="Arial"/>
        </w:rPr>
        <w:t xml:space="preserve">m </w:t>
      </w:r>
      <w:r>
        <w:rPr>
          <w:rFonts w:cs="Arial"/>
        </w:rPr>
        <w:t xml:space="preserve">of </w:t>
      </w:r>
      <w:r w:rsidR="00D23064">
        <w:rPr>
          <w:rFonts w:cs="Arial"/>
        </w:rPr>
        <w:t>c</w:t>
      </w:r>
      <w:r w:rsidRPr="00D477CF" w:rsidR="00D23064">
        <w:rPr>
          <w:rFonts w:cs="Arial"/>
        </w:rPr>
        <w:t xml:space="preserve">apital receipts </w:t>
      </w:r>
      <w:r>
        <w:rPr>
          <w:rFonts w:cs="Arial"/>
        </w:rPr>
        <w:t>income</w:t>
      </w:r>
      <w:r w:rsidRPr="00D477CF" w:rsidR="00D23064">
        <w:rPr>
          <w:rFonts w:cs="Arial"/>
        </w:rPr>
        <w:t xml:space="preserve"> </w:t>
      </w:r>
      <w:r w:rsidR="00D23064">
        <w:rPr>
          <w:rFonts w:cs="Arial"/>
        </w:rPr>
        <w:t>in 2021/22</w:t>
      </w:r>
      <w:r>
        <w:rPr>
          <w:rFonts w:cs="Arial"/>
        </w:rPr>
        <w:t xml:space="preserve">. </w:t>
      </w:r>
      <w:r w:rsidRPr="0059095C" w:rsidR="00D23064">
        <w:rPr>
          <w:rFonts w:cs="Arial"/>
        </w:rPr>
        <w:t xml:space="preserve">As part of the service challenge process additional resources were identified to support the transformation of services and delivery of the savings. The assumption within the MTFS </w:t>
      </w:r>
      <w:r w:rsidR="00D23064">
        <w:rPr>
          <w:rFonts w:cs="Arial"/>
        </w:rPr>
        <w:t xml:space="preserve">is that </w:t>
      </w:r>
      <w:r w:rsidRPr="0059095C" w:rsidR="00D23064">
        <w:rPr>
          <w:rFonts w:cs="Arial"/>
        </w:rPr>
        <w:t>capital receipts</w:t>
      </w:r>
      <w:r w:rsidR="00D23064">
        <w:rPr>
          <w:rFonts w:cs="Arial"/>
        </w:rPr>
        <w:t xml:space="preserve"> will be sufficient</w:t>
      </w:r>
      <w:r w:rsidRPr="0059095C" w:rsidR="00D23064">
        <w:rPr>
          <w:rFonts w:cs="Arial"/>
        </w:rPr>
        <w:t xml:space="preserve"> to meet these transformation costs </w:t>
      </w:r>
      <w:r w:rsidR="00D23064">
        <w:rPr>
          <w:rFonts w:cs="Arial"/>
        </w:rPr>
        <w:t>in 2021/22</w:t>
      </w:r>
      <w:r w:rsidRPr="0059095C" w:rsidR="00D23064">
        <w:rPr>
          <w:rFonts w:cs="Arial"/>
        </w:rPr>
        <w:t xml:space="preserve"> and therefore they will not be a draw on reser</w:t>
      </w:r>
      <w:r w:rsidR="001567FD">
        <w:rPr>
          <w:rFonts w:cs="Arial"/>
        </w:rPr>
        <w:t xml:space="preserve">ves or increase the funding gap. </w:t>
      </w:r>
    </w:p>
    <w:p w:rsidR="00AB28CC" w:rsidRPr="001567FD" w:rsidP="001567FD">
      <w:pPr>
        <w:tabs>
          <w:tab w:val="left" w:pos="567"/>
          <w:tab w:val="left" w:pos="1134"/>
        </w:tabs>
        <w:spacing w:after="0"/>
        <w:rPr>
          <w:rFonts w:cs="Arial"/>
        </w:rPr>
      </w:pPr>
    </w:p>
    <w:p w:rsidR="006D0EDA" w:rsidRPr="00C44644" w:rsidP="006D0EDA">
      <w:pPr>
        <w:spacing w:after="0"/>
        <w:rPr>
          <w:rFonts w:cs="Arial"/>
          <w:b/>
        </w:rPr>
      </w:pPr>
      <w:r w:rsidRPr="00C44644">
        <w:rPr>
          <w:rFonts w:cs="Arial"/>
          <w:b/>
        </w:rPr>
        <w:t xml:space="preserve">3. Net budget requirement </w:t>
      </w:r>
    </w:p>
    <w:p w:rsidR="006D0EDA" w:rsidRPr="00C44644" w:rsidP="006D0EDA">
      <w:pPr>
        <w:spacing w:after="0"/>
        <w:rPr>
          <w:rFonts w:cs="Arial"/>
          <w:b/>
        </w:rPr>
      </w:pPr>
    </w:p>
    <w:p w:rsidR="006D0EDA" w:rsidRPr="00C44644" w:rsidP="006D0EDA">
      <w:pPr>
        <w:tabs>
          <w:tab w:val="left" w:pos="567"/>
          <w:tab w:val="left" w:pos="1134"/>
        </w:tabs>
        <w:spacing w:after="0"/>
        <w:rPr>
          <w:rFonts w:cs="Arial"/>
        </w:rPr>
      </w:pPr>
      <w:r w:rsidRPr="00C44644">
        <w:rPr>
          <w:rFonts w:cs="Arial"/>
        </w:rPr>
        <w:t xml:space="preserve">The MTFS covers spending pressures including pay increases, contractual inflation, increased demand for services and the impact of previously agreed and new savings measures. </w:t>
      </w:r>
    </w:p>
    <w:p w:rsidR="006D0EDA" w:rsidRPr="00E95F45" w:rsidP="006D0EDA">
      <w:pPr>
        <w:spacing w:after="0"/>
        <w:rPr>
          <w:rFonts w:cs="Arial"/>
          <w:highlight w:val="yellow"/>
        </w:rPr>
      </w:pPr>
    </w:p>
    <w:p w:rsidR="006D0EDA" w:rsidRPr="00B03828" w:rsidP="006D0EDA">
      <w:pPr>
        <w:spacing w:after="0"/>
        <w:rPr>
          <w:rFonts w:cs="Arial"/>
          <w:b/>
        </w:rPr>
      </w:pPr>
      <w:r w:rsidRPr="00B03828">
        <w:rPr>
          <w:rFonts w:cs="Arial"/>
          <w:b/>
        </w:rPr>
        <w:t>3.1 Pay and pensions</w:t>
      </w:r>
    </w:p>
    <w:p w:rsidR="006D0EDA" w:rsidRPr="00B03828" w:rsidP="00A70377">
      <w:pPr>
        <w:spacing w:after="0"/>
        <w:rPr>
          <w:rFonts w:cs="Arial"/>
        </w:rPr>
      </w:pPr>
      <w:r>
        <w:rPr>
          <w:rFonts w:cs="Arial"/>
        </w:rPr>
        <w:t>The MTFS at q</w:t>
      </w:r>
      <w:r w:rsidR="00B03828">
        <w:rPr>
          <w:rFonts w:cs="Arial"/>
        </w:rPr>
        <w:t xml:space="preserve">uarter 2 has been updated to reflect the revised costs of the agreed </w:t>
      </w:r>
      <w:r w:rsidRPr="00B03828" w:rsidR="00B03828">
        <w:rPr>
          <w:rFonts w:cs="Arial"/>
        </w:rPr>
        <w:t>pay</w:t>
      </w:r>
      <w:r w:rsidRPr="00B03828" w:rsidR="003C12EA">
        <w:rPr>
          <w:rFonts w:cs="Arial"/>
        </w:rPr>
        <w:t xml:space="preserve"> settlement for 2020/21 </w:t>
      </w:r>
      <w:r w:rsidR="00B03828">
        <w:rPr>
          <w:rFonts w:cs="Arial"/>
        </w:rPr>
        <w:t>of 2.75</w:t>
      </w:r>
      <w:r w:rsidRPr="00B03828" w:rsidR="003C12EA">
        <w:rPr>
          <w:rFonts w:cs="Arial"/>
        </w:rPr>
        <w:t xml:space="preserve">%. The </w:t>
      </w:r>
      <w:r w:rsidR="00B03828">
        <w:rPr>
          <w:rFonts w:cs="Arial"/>
        </w:rPr>
        <w:t>previous MTFS was based on a 3</w:t>
      </w:r>
      <w:r w:rsidRPr="00B03828" w:rsidR="003C12EA">
        <w:rPr>
          <w:rFonts w:cs="Arial"/>
        </w:rPr>
        <w:t>% increase. We have therefore included the differential for 2020/21 into the 2021/22 MTFS and reverted to</w:t>
      </w:r>
      <w:r w:rsidR="00B03828">
        <w:rPr>
          <w:rFonts w:cs="Arial"/>
        </w:rPr>
        <w:t xml:space="preserve"> 2% annual increases thereafter both in relation to pay and pension contributions. </w:t>
      </w:r>
    </w:p>
    <w:p w:rsidR="003C12EA" w:rsidRPr="00E95F45" w:rsidP="00A70377">
      <w:pPr>
        <w:spacing w:after="0"/>
        <w:rPr>
          <w:rFonts w:eastAsiaTheme="minorHAnsi" w:cs="Arial"/>
          <w:color w:val="auto"/>
          <w:highlight w:val="yellow"/>
        </w:rPr>
      </w:pPr>
    </w:p>
    <w:p w:rsidR="006D0EDA" w:rsidRPr="00B03828" w:rsidP="003C12EA">
      <w:pPr>
        <w:spacing w:after="0"/>
        <w:rPr>
          <w:rFonts w:cs="Arial"/>
        </w:rPr>
      </w:pPr>
      <w:r w:rsidRPr="00B03828">
        <w:rPr>
          <w:rFonts w:cs="Arial"/>
        </w:rPr>
        <w:t>The table below presents the amounts built into the MTFS for pay and pensions:</w:t>
      </w:r>
    </w:p>
    <w:p w:rsidR="006D0EDA" w:rsidRPr="00E95F45">
      <w:pPr>
        <w:spacing w:after="0"/>
        <w:rPr>
          <w:rFonts w:cs="Arial"/>
          <w:b/>
          <w:i/>
          <w:highlight w:val="yellow"/>
          <w:u w:val="single"/>
        </w:rPr>
      </w:pPr>
    </w:p>
    <w:p w:rsidR="006D0EDA" w:rsidRPr="00C44644" w:rsidP="006D0EDA">
      <w:pPr>
        <w:spacing w:after="0"/>
        <w:rPr>
          <w:rFonts w:cs="Arial"/>
          <w:b/>
          <w:i/>
          <w:u w:val="single"/>
        </w:rPr>
      </w:pPr>
      <w:r w:rsidRPr="00C44644">
        <w:rPr>
          <w:rFonts w:cs="Arial"/>
          <w:b/>
          <w:i/>
          <w:u w:val="single"/>
        </w:rPr>
        <w:t>Table 4</w:t>
      </w:r>
    </w:p>
    <w:p w:rsidR="006D0EDA" w:rsidRPr="00C44644" w:rsidP="006D0EDA">
      <w:pPr>
        <w:spacing w:after="0"/>
        <w:rPr>
          <w:rFonts w:cs="Arial"/>
        </w:rPr>
      </w:pPr>
    </w:p>
    <w:p w:rsidR="006D0EDA" w:rsidRPr="00C44644" w:rsidP="006D0EDA">
      <w:pPr>
        <w:spacing w:after="0"/>
        <w:rPr>
          <w:rFonts w:cs="Arial"/>
          <w:b/>
        </w:rPr>
      </w:pPr>
    </w:p>
    <w:tbl>
      <w:tblPr>
        <w:tblW w:w="8200" w:type="dxa"/>
        <w:tblInd w:w="-10" w:type="dxa"/>
        <w:tblLook w:val="04A0"/>
      </w:tblPr>
      <w:tblGrid>
        <w:gridCol w:w="3080"/>
        <w:gridCol w:w="1280"/>
        <w:gridCol w:w="1280"/>
        <w:gridCol w:w="1280"/>
        <w:gridCol w:w="1280"/>
      </w:tblGrid>
      <w:tr w:rsidTr="006D0EDA">
        <w:tblPrEx>
          <w:tblW w:w="8200" w:type="dxa"/>
          <w:tblInd w:w="-10" w:type="dxa"/>
          <w:tblLook w:val="04A0"/>
        </w:tblPrEx>
        <w:trPr>
          <w:trHeight w:val="310"/>
        </w:trPr>
        <w:tc>
          <w:tcPr>
            <w:tcW w:w="30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6D0EDA" w:rsidRPr="00C44644" w:rsidP="006D0EDA">
            <w:pPr>
              <w:autoSpaceDE/>
              <w:autoSpaceDN/>
              <w:adjustRightInd/>
              <w:spacing w:after="0"/>
              <w:rPr>
                <w:rFonts w:eastAsia="Times New Roman" w:cs="Arial"/>
                <w:lang w:eastAsia="en-GB"/>
              </w:rPr>
            </w:pPr>
            <w:r w:rsidRPr="00C44644">
              <w:rPr>
                <w:rFonts w:eastAsia="Times New Roman" w:cs="Arial"/>
                <w:lang w:eastAsia="en-GB"/>
              </w:rPr>
              <w:t> </w:t>
            </w:r>
          </w:p>
        </w:tc>
        <w:tc>
          <w:tcPr>
            <w:tcW w:w="1280" w:type="dxa"/>
            <w:tcBorders>
              <w:top w:val="single" w:sz="8" w:space="0" w:color="auto"/>
              <w:left w:val="nil"/>
              <w:bottom w:val="nil"/>
              <w:right w:val="single" w:sz="8" w:space="0" w:color="auto"/>
            </w:tcBorders>
            <w:shd w:val="clear" w:color="000000" w:fill="BFBFBF"/>
            <w:vAlign w:val="center"/>
            <w:hideMark/>
          </w:tcPr>
          <w:p w:rsidR="006D0EDA" w:rsidRPr="00C44644" w:rsidP="006D0EDA">
            <w:pPr>
              <w:autoSpaceDE/>
              <w:autoSpaceDN/>
              <w:adjustRightInd/>
              <w:spacing w:after="0"/>
              <w:jc w:val="center"/>
              <w:rPr>
                <w:rFonts w:eastAsia="Times New Roman" w:cs="Arial"/>
                <w:b/>
                <w:bCs/>
                <w:lang w:eastAsia="en-GB"/>
              </w:rPr>
            </w:pPr>
            <w:r w:rsidRPr="00C44644">
              <w:rPr>
                <w:rFonts w:eastAsia="Times New Roman" w:cs="Arial"/>
                <w:b/>
                <w:bCs/>
                <w:lang w:eastAsia="en-GB"/>
              </w:rPr>
              <w:t>2021/22</w:t>
            </w:r>
          </w:p>
        </w:tc>
        <w:tc>
          <w:tcPr>
            <w:tcW w:w="1280" w:type="dxa"/>
            <w:tcBorders>
              <w:top w:val="single" w:sz="8" w:space="0" w:color="auto"/>
              <w:left w:val="nil"/>
              <w:bottom w:val="nil"/>
              <w:right w:val="single" w:sz="8" w:space="0" w:color="auto"/>
            </w:tcBorders>
            <w:shd w:val="clear" w:color="000000" w:fill="BFBFBF"/>
            <w:vAlign w:val="center"/>
            <w:hideMark/>
          </w:tcPr>
          <w:p w:rsidR="006D0EDA" w:rsidRPr="00C44644" w:rsidP="006D0EDA">
            <w:pPr>
              <w:autoSpaceDE/>
              <w:autoSpaceDN/>
              <w:adjustRightInd/>
              <w:spacing w:after="0"/>
              <w:jc w:val="center"/>
              <w:rPr>
                <w:rFonts w:eastAsia="Times New Roman" w:cs="Arial"/>
                <w:b/>
                <w:bCs/>
                <w:lang w:eastAsia="en-GB"/>
              </w:rPr>
            </w:pPr>
            <w:r w:rsidRPr="00C44644">
              <w:rPr>
                <w:rFonts w:eastAsia="Times New Roman" w:cs="Arial"/>
                <w:b/>
                <w:bCs/>
                <w:lang w:eastAsia="en-GB"/>
              </w:rPr>
              <w:t>2022/23</w:t>
            </w:r>
          </w:p>
        </w:tc>
        <w:tc>
          <w:tcPr>
            <w:tcW w:w="1280" w:type="dxa"/>
            <w:tcBorders>
              <w:top w:val="single" w:sz="8" w:space="0" w:color="auto"/>
              <w:left w:val="nil"/>
              <w:bottom w:val="nil"/>
              <w:right w:val="single" w:sz="8" w:space="0" w:color="auto"/>
            </w:tcBorders>
            <w:shd w:val="clear" w:color="000000" w:fill="BFBFBF"/>
            <w:vAlign w:val="center"/>
            <w:hideMark/>
          </w:tcPr>
          <w:p w:rsidR="006D0EDA" w:rsidRPr="00C44644" w:rsidP="006D0EDA">
            <w:pPr>
              <w:autoSpaceDE/>
              <w:autoSpaceDN/>
              <w:adjustRightInd/>
              <w:spacing w:after="0"/>
              <w:jc w:val="center"/>
              <w:rPr>
                <w:rFonts w:eastAsia="Times New Roman" w:cs="Arial"/>
                <w:b/>
                <w:bCs/>
                <w:lang w:eastAsia="en-GB"/>
              </w:rPr>
            </w:pPr>
            <w:r w:rsidRPr="00C44644">
              <w:rPr>
                <w:rFonts w:eastAsia="Times New Roman" w:cs="Arial"/>
                <w:b/>
                <w:bCs/>
                <w:lang w:eastAsia="en-GB"/>
              </w:rPr>
              <w:t>2023/24</w:t>
            </w:r>
          </w:p>
        </w:tc>
        <w:tc>
          <w:tcPr>
            <w:tcW w:w="1280" w:type="dxa"/>
            <w:tcBorders>
              <w:top w:val="single" w:sz="8" w:space="0" w:color="auto"/>
              <w:left w:val="nil"/>
              <w:bottom w:val="nil"/>
              <w:right w:val="single" w:sz="8" w:space="0" w:color="auto"/>
            </w:tcBorders>
            <w:shd w:val="clear" w:color="000000" w:fill="BFBFBF"/>
            <w:vAlign w:val="center"/>
            <w:hideMark/>
          </w:tcPr>
          <w:p w:rsidR="006D0EDA" w:rsidRPr="00C44644" w:rsidP="006D0EDA">
            <w:pPr>
              <w:autoSpaceDE/>
              <w:autoSpaceDN/>
              <w:adjustRightInd/>
              <w:spacing w:after="0"/>
              <w:jc w:val="center"/>
              <w:rPr>
                <w:rFonts w:eastAsia="Times New Roman" w:cs="Arial"/>
                <w:b/>
                <w:bCs/>
                <w:lang w:eastAsia="en-GB"/>
              </w:rPr>
            </w:pPr>
            <w:r w:rsidRPr="00C44644">
              <w:rPr>
                <w:rFonts w:eastAsia="Times New Roman" w:cs="Arial"/>
                <w:b/>
                <w:bCs/>
                <w:lang w:eastAsia="en-GB"/>
              </w:rPr>
              <w:t>Total</w:t>
            </w:r>
          </w:p>
        </w:tc>
      </w:tr>
      <w:tr w:rsidTr="006D0EDA">
        <w:tblPrEx>
          <w:tblW w:w="8200" w:type="dxa"/>
          <w:tblInd w:w="-10" w:type="dxa"/>
          <w:tblLook w:val="04A0"/>
        </w:tblPrEx>
        <w:trPr>
          <w:trHeight w:val="320"/>
        </w:trPr>
        <w:tc>
          <w:tcPr>
            <w:tcW w:w="3080" w:type="dxa"/>
            <w:vMerge/>
            <w:tcBorders>
              <w:top w:val="single" w:sz="8" w:space="0" w:color="auto"/>
              <w:left w:val="single" w:sz="8" w:space="0" w:color="auto"/>
              <w:bottom w:val="single" w:sz="8" w:space="0" w:color="000000"/>
              <w:right w:val="single" w:sz="8" w:space="0" w:color="auto"/>
            </w:tcBorders>
            <w:vAlign w:val="center"/>
            <w:hideMark/>
          </w:tcPr>
          <w:p w:rsidR="006D0EDA" w:rsidRPr="00C44644" w:rsidP="006D0EDA">
            <w:pPr>
              <w:autoSpaceDE/>
              <w:autoSpaceDN/>
              <w:adjustRightInd/>
              <w:spacing w:after="0"/>
              <w:jc w:val="left"/>
              <w:rPr>
                <w:rFonts w:eastAsia="Times New Roman" w:cs="Arial"/>
                <w:lang w:eastAsia="en-GB"/>
              </w:rPr>
            </w:pPr>
          </w:p>
        </w:tc>
        <w:tc>
          <w:tcPr>
            <w:tcW w:w="1280" w:type="dxa"/>
            <w:tcBorders>
              <w:top w:val="nil"/>
              <w:left w:val="nil"/>
              <w:bottom w:val="single" w:sz="8" w:space="0" w:color="auto"/>
              <w:right w:val="single" w:sz="8" w:space="0" w:color="auto"/>
            </w:tcBorders>
            <w:shd w:val="clear" w:color="000000" w:fill="BFBFBF"/>
            <w:vAlign w:val="center"/>
            <w:hideMark/>
          </w:tcPr>
          <w:p w:rsidR="006D0EDA" w:rsidRPr="00C44644" w:rsidP="006D0EDA">
            <w:pPr>
              <w:autoSpaceDE/>
              <w:autoSpaceDN/>
              <w:adjustRightInd/>
              <w:spacing w:after="0"/>
              <w:jc w:val="center"/>
              <w:rPr>
                <w:rFonts w:eastAsia="Times New Roman" w:cs="Arial"/>
                <w:b/>
                <w:bCs/>
                <w:lang w:eastAsia="en-GB"/>
              </w:rPr>
            </w:pPr>
            <w:r w:rsidRPr="00C44644">
              <w:rPr>
                <w:rFonts w:eastAsia="Times New Roman" w:cs="Arial"/>
                <w:b/>
                <w:bCs/>
                <w:lang w:eastAsia="en-GB"/>
              </w:rPr>
              <w:t>£m</w:t>
            </w:r>
          </w:p>
        </w:tc>
        <w:tc>
          <w:tcPr>
            <w:tcW w:w="1280" w:type="dxa"/>
            <w:tcBorders>
              <w:top w:val="nil"/>
              <w:left w:val="nil"/>
              <w:bottom w:val="single" w:sz="8" w:space="0" w:color="auto"/>
              <w:right w:val="single" w:sz="8" w:space="0" w:color="auto"/>
            </w:tcBorders>
            <w:shd w:val="clear" w:color="000000" w:fill="BFBFBF"/>
            <w:vAlign w:val="center"/>
            <w:hideMark/>
          </w:tcPr>
          <w:p w:rsidR="006D0EDA" w:rsidRPr="00C44644" w:rsidP="006D0EDA">
            <w:pPr>
              <w:autoSpaceDE/>
              <w:autoSpaceDN/>
              <w:adjustRightInd/>
              <w:spacing w:after="0"/>
              <w:jc w:val="center"/>
              <w:rPr>
                <w:rFonts w:eastAsia="Times New Roman" w:cs="Arial"/>
                <w:b/>
                <w:bCs/>
                <w:lang w:eastAsia="en-GB"/>
              </w:rPr>
            </w:pPr>
            <w:r w:rsidRPr="00C44644">
              <w:rPr>
                <w:rFonts w:eastAsia="Times New Roman" w:cs="Arial"/>
                <w:b/>
                <w:bCs/>
                <w:lang w:eastAsia="en-GB"/>
              </w:rPr>
              <w:t>£m</w:t>
            </w:r>
          </w:p>
        </w:tc>
        <w:tc>
          <w:tcPr>
            <w:tcW w:w="1280" w:type="dxa"/>
            <w:tcBorders>
              <w:top w:val="nil"/>
              <w:left w:val="nil"/>
              <w:bottom w:val="single" w:sz="8" w:space="0" w:color="auto"/>
              <w:right w:val="single" w:sz="8" w:space="0" w:color="auto"/>
            </w:tcBorders>
            <w:shd w:val="clear" w:color="000000" w:fill="BFBFBF"/>
            <w:vAlign w:val="center"/>
            <w:hideMark/>
          </w:tcPr>
          <w:p w:rsidR="006D0EDA" w:rsidRPr="00C44644" w:rsidP="006D0EDA">
            <w:pPr>
              <w:autoSpaceDE/>
              <w:autoSpaceDN/>
              <w:adjustRightInd/>
              <w:spacing w:after="0"/>
              <w:jc w:val="center"/>
              <w:rPr>
                <w:rFonts w:eastAsia="Times New Roman" w:cs="Arial"/>
                <w:b/>
                <w:bCs/>
                <w:lang w:eastAsia="en-GB"/>
              </w:rPr>
            </w:pPr>
            <w:r w:rsidRPr="00C44644">
              <w:rPr>
                <w:rFonts w:eastAsia="Times New Roman" w:cs="Arial"/>
                <w:b/>
                <w:bCs/>
                <w:lang w:eastAsia="en-GB"/>
              </w:rPr>
              <w:t>£m</w:t>
            </w:r>
          </w:p>
        </w:tc>
        <w:tc>
          <w:tcPr>
            <w:tcW w:w="1280" w:type="dxa"/>
            <w:tcBorders>
              <w:top w:val="nil"/>
              <w:left w:val="nil"/>
              <w:bottom w:val="single" w:sz="8" w:space="0" w:color="auto"/>
              <w:right w:val="single" w:sz="8" w:space="0" w:color="auto"/>
            </w:tcBorders>
            <w:shd w:val="clear" w:color="000000" w:fill="BFBFBF"/>
            <w:vAlign w:val="center"/>
            <w:hideMark/>
          </w:tcPr>
          <w:p w:rsidR="006D0EDA" w:rsidRPr="00C44644" w:rsidP="006D0EDA">
            <w:pPr>
              <w:autoSpaceDE/>
              <w:autoSpaceDN/>
              <w:adjustRightInd/>
              <w:spacing w:after="0"/>
              <w:jc w:val="center"/>
              <w:rPr>
                <w:rFonts w:eastAsia="Times New Roman" w:cs="Arial"/>
                <w:b/>
                <w:bCs/>
                <w:lang w:eastAsia="en-GB"/>
              </w:rPr>
            </w:pPr>
            <w:r w:rsidRPr="00C44644">
              <w:rPr>
                <w:rFonts w:eastAsia="Times New Roman" w:cs="Arial"/>
                <w:b/>
                <w:bCs/>
                <w:lang w:eastAsia="en-GB"/>
              </w:rPr>
              <w:t>£m</w:t>
            </w:r>
          </w:p>
        </w:tc>
      </w:tr>
      <w:tr w:rsidTr="006D0EDA">
        <w:tblPrEx>
          <w:tblW w:w="8200" w:type="dxa"/>
          <w:tblInd w:w="-10" w:type="dxa"/>
          <w:tblLook w:val="04A0"/>
        </w:tblPrEx>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left"/>
              <w:rPr>
                <w:rFonts w:eastAsia="Times New Roman" w:cs="Arial"/>
                <w:lang w:eastAsia="en-GB"/>
              </w:rPr>
            </w:pPr>
            <w:r w:rsidRPr="00C44644">
              <w:rPr>
                <w:rFonts w:eastAsia="Times New Roman" w:cs="Arial"/>
                <w:lang w:eastAsia="en-GB"/>
              </w:rPr>
              <w:t>Employee costs</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sidRPr="00C44644">
              <w:rPr>
                <w:rFonts w:eastAsia="Times New Roman" w:cs="Arial"/>
                <w:lang w:eastAsia="en-GB"/>
              </w:rPr>
              <w:t>10.892</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Pr>
                <w:rFonts w:eastAsia="Times New Roman" w:cs="Arial"/>
                <w:lang w:eastAsia="en-GB"/>
              </w:rPr>
              <w:t>7.372</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Pr>
                <w:rFonts w:eastAsia="Times New Roman" w:cs="Arial"/>
                <w:lang w:eastAsia="en-GB"/>
              </w:rPr>
              <w:t>7.522</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25.786</w:t>
            </w:r>
          </w:p>
        </w:tc>
      </w:tr>
      <w:tr w:rsidTr="006D0EDA">
        <w:tblPrEx>
          <w:tblW w:w="8200" w:type="dxa"/>
          <w:tblInd w:w="-10" w:type="dxa"/>
          <w:tblLook w:val="04A0"/>
        </w:tblPrEx>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left"/>
              <w:rPr>
                <w:rFonts w:eastAsia="Times New Roman" w:cs="Arial"/>
                <w:lang w:eastAsia="en-GB"/>
              </w:rPr>
            </w:pPr>
            <w:r w:rsidRPr="00C44644">
              <w:rPr>
                <w:rFonts w:eastAsia="Times New Roman" w:cs="Arial"/>
                <w:lang w:eastAsia="en-GB"/>
              </w:rPr>
              <w:t>Pensions costs</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sidRPr="00C44644">
              <w:rPr>
                <w:rFonts w:eastAsia="Times New Roman" w:cs="Arial"/>
                <w:lang w:eastAsia="en-GB"/>
              </w:rPr>
              <w:t>1.251</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Pr>
                <w:rFonts w:eastAsia="Times New Roman" w:cs="Arial"/>
                <w:lang w:eastAsia="en-GB"/>
              </w:rPr>
              <w:t>0.831</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sidRPr="00C44644">
              <w:rPr>
                <w:rFonts w:eastAsia="Times New Roman" w:cs="Arial"/>
                <w:lang w:eastAsia="en-GB"/>
              </w:rPr>
              <w:t>0.374</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2.456</w:t>
            </w:r>
          </w:p>
        </w:tc>
      </w:tr>
      <w:tr w:rsidTr="006D0EDA">
        <w:tblPrEx>
          <w:tblW w:w="8200" w:type="dxa"/>
          <w:tblInd w:w="-10" w:type="dxa"/>
          <w:tblLook w:val="04A0"/>
        </w:tblPrEx>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left"/>
              <w:rPr>
                <w:rFonts w:eastAsia="Times New Roman" w:cs="Arial"/>
                <w:lang w:eastAsia="en-GB"/>
              </w:rPr>
            </w:pPr>
            <w:r w:rsidRPr="00C44644">
              <w:rPr>
                <w:rFonts w:eastAsia="Times New Roman" w:cs="Arial"/>
                <w:lang w:eastAsia="en-GB"/>
              </w:rPr>
              <w:t>Other pay related costs</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sidRPr="00C44644">
              <w:rPr>
                <w:rFonts w:eastAsia="Times New Roman" w:cs="Arial"/>
                <w:lang w:eastAsia="en-GB"/>
              </w:rPr>
              <w:t>0.200</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Pr>
                <w:rFonts w:eastAsia="Times New Roman" w:cs="Arial"/>
                <w:lang w:eastAsia="en-GB"/>
              </w:rPr>
              <w:t>0.038</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Pr>
                <w:rFonts w:eastAsia="Times New Roman" w:cs="Arial"/>
                <w:lang w:eastAsia="en-GB"/>
              </w:rPr>
              <w:t>0.039</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0.277</w:t>
            </w:r>
          </w:p>
        </w:tc>
      </w:tr>
      <w:tr w:rsidTr="006D0EDA">
        <w:tblPrEx>
          <w:tblW w:w="8200" w:type="dxa"/>
          <w:tblInd w:w="-10" w:type="dxa"/>
          <w:tblLook w:val="04A0"/>
        </w:tblPrEx>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left"/>
              <w:rPr>
                <w:rFonts w:eastAsia="Times New Roman" w:cs="Arial"/>
                <w:b/>
                <w:bCs/>
                <w:lang w:eastAsia="en-GB"/>
              </w:rPr>
            </w:pPr>
            <w:r w:rsidRPr="00C44644">
              <w:rPr>
                <w:rFonts w:eastAsia="Times New Roman" w:cs="Arial"/>
                <w:b/>
                <w:bCs/>
                <w:lang w:eastAsia="en-GB"/>
              </w:rPr>
              <w:t>Revised pay and pension requirements</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sidRPr="00C44644">
              <w:rPr>
                <w:rFonts w:eastAsia="Times New Roman" w:cs="Arial"/>
                <w:b/>
                <w:bCs/>
                <w:lang w:eastAsia="en-GB"/>
              </w:rPr>
              <w:t>12.343</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8.241</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7.935</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28.519</w:t>
            </w:r>
          </w:p>
        </w:tc>
      </w:tr>
      <w:tr w:rsidTr="006D0EDA">
        <w:tblPrEx>
          <w:tblW w:w="8200" w:type="dxa"/>
          <w:tblInd w:w="-10" w:type="dxa"/>
          <w:tblLook w:val="04A0"/>
        </w:tblPrEx>
        <w:trPr>
          <w:trHeight w:val="22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left"/>
              <w:rPr>
                <w:rFonts w:eastAsia="Times New Roman" w:cs="Arial"/>
                <w:b/>
                <w:bCs/>
                <w:lang w:eastAsia="en-GB"/>
              </w:rPr>
            </w:pPr>
            <w:r w:rsidRPr="00C4464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r>
      <w:tr w:rsidTr="006D0EDA">
        <w:tblPrEx>
          <w:tblW w:w="8200" w:type="dxa"/>
          <w:tblInd w:w="-10" w:type="dxa"/>
          <w:tblLook w:val="04A0"/>
        </w:tblPrEx>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left"/>
              <w:rPr>
                <w:rFonts w:eastAsia="Times New Roman" w:cs="Arial"/>
                <w:b/>
                <w:bCs/>
                <w:lang w:eastAsia="en-GB"/>
              </w:rPr>
            </w:pPr>
            <w:r w:rsidRPr="00C44644">
              <w:rPr>
                <w:rFonts w:eastAsia="Times New Roman" w:cs="Arial"/>
                <w:b/>
                <w:bCs/>
                <w:lang w:eastAsia="en-GB"/>
              </w:rPr>
              <w:t>Pay and pensions -previous MTFS</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10.744</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7.584</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8.094</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Pr>
                <w:rFonts w:eastAsia="Times New Roman" w:cs="Arial"/>
                <w:b/>
                <w:bCs/>
                <w:lang w:eastAsia="en-GB"/>
              </w:rPr>
              <w:t>26.422</w:t>
            </w:r>
          </w:p>
        </w:tc>
      </w:tr>
      <w:tr w:rsidTr="006D0EDA">
        <w:tblPrEx>
          <w:tblW w:w="8200" w:type="dxa"/>
          <w:tblInd w:w="-10" w:type="dxa"/>
          <w:tblLook w:val="04A0"/>
        </w:tblPrEx>
        <w:trPr>
          <w:trHeight w:val="22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left"/>
              <w:rPr>
                <w:rFonts w:eastAsia="Times New Roman" w:cs="Arial"/>
                <w:lang w:eastAsia="en-GB"/>
              </w:rPr>
            </w:pPr>
            <w:r w:rsidRPr="00C44644">
              <w:rPr>
                <w:rFonts w:eastAsia="Times New Roman" w:cs="Arial"/>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lang w:eastAsia="en-GB"/>
              </w:rPr>
            </w:pPr>
            <w:r w:rsidRPr="00C44644">
              <w:rPr>
                <w:rFonts w:eastAsia="Times New Roman" w:cs="Arial"/>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c>
          <w:tcPr>
            <w:tcW w:w="1280" w:type="dxa"/>
            <w:tcBorders>
              <w:top w:val="nil"/>
              <w:left w:val="nil"/>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right"/>
              <w:rPr>
                <w:rFonts w:eastAsia="Times New Roman" w:cs="Arial"/>
                <w:b/>
                <w:bCs/>
                <w:lang w:eastAsia="en-GB"/>
              </w:rPr>
            </w:pPr>
            <w:r w:rsidRPr="00C44644">
              <w:rPr>
                <w:rFonts w:eastAsia="Times New Roman" w:cs="Arial"/>
                <w:b/>
                <w:bCs/>
                <w:lang w:eastAsia="en-GB"/>
              </w:rPr>
              <w:t> </w:t>
            </w:r>
          </w:p>
        </w:tc>
      </w:tr>
      <w:tr w:rsidTr="00C44644">
        <w:tblPrEx>
          <w:tblW w:w="8200" w:type="dxa"/>
          <w:tblInd w:w="-10" w:type="dxa"/>
          <w:tblLook w:val="04A0"/>
        </w:tblPrEx>
        <w:trPr>
          <w:trHeight w:val="580"/>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6D0EDA" w:rsidRPr="00C44644" w:rsidP="006D0EDA">
            <w:pPr>
              <w:autoSpaceDE/>
              <w:autoSpaceDN/>
              <w:adjustRightInd/>
              <w:spacing w:after="0"/>
              <w:jc w:val="left"/>
              <w:rPr>
                <w:rFonts w:eastAsia="Times New Roman" w:cs="Arial"/>
                <w:b/>
                <w:bCs/>
                <w:lang w:eastAsia="en-GB"/>
              </w:rPr>
            </w:pPr>
            <w:r w:rsidRPr="00C44644">
              <w:rPr>
                <w:rFonts w:eastAsia="Times New Roman" w:cs="Arial"/>
                <w:b/>
                <w:bCs/>
                <w:lang w:eastAsia="en-GB"/>
              </w:rPr>
              <w:t>Variance</w:t>
            </w:r>
          </w:p>
        </w:tc>
        <w:tc>
          <w:tcPr>
            <w:tcW w:w="1280" w:type="dxa"/>
            <w:tcBorders>
              <w:top w:val="nil"/>
              <w:left w:val="nil"/>
              <w:bottom w:val="single" w:sz="8" w:space="0" w:color="auto"/>
              <w:right w:val="single" w:sz="8" w:space="0" w:color="auto"/>
            </w:tcBorders>
            <w:shd w:val="clear" w:color="auto" w:fill="auto"/>
            <w:vAlign w:val="center"/>
          </w:tcPr>
          <w:p w:rsidR="006D0EDA" w:rsidRPr="00A90445" w:rsidP="006D0EDA">
            <w:pPr>
              <w:autoSpaceDE/>
              <w:autoSpaceDN/>
              <w:adjustRightInd/>
              <w:spacing w:after="0"/>
              <w:jc w:val="right"/>
              <w:rPr>
                <w:rFonts w:eastAsia="Times New Roman" w:cs="Arial"/>
                <w:b/>
                <w:lang w:eastAsia="en-GB"/>
              </w:rPr>
            </w:pPr>
            <w:r w:rsidRPr="00A90445">
              <w:rPr>
                <w:rFonts w:eastAsia="Times New Roman" w:cs="Arial"/>
                <w:b/>
                <w:lang w:eastAsia="en-GB"/>
              </w:rPr>
              <w:t>1.599</w:t>
            </w:r>
          </w:p>
        </w:tc>
        <w:tc>
          <w:tcPr>
            <w:tcW w:w="1280" w:type="dxa"/>
            <w:tcBorders>
              <w:top w:val="nil"/>
              <w:left w:val="nil"/>
              <w:bottom w:val="single" w:sz="8" w:space="0" w:color="auto"/>
              <w:right w:val="single" w:sz="8" w:space="0" w:color="auto"/>
            </w:tcBorders>
            <w:shd w:val="clear" w:color="auto" w:fill="auto"/>
            <w:vAlign w:val="center"/>
          </w:tcPr>
          <w:p w:rsidR="006D0EDA" w:rsidRPr="00A90445" w:rsidP="006D0EDA">
            <w:pPr>
              <w:autoSpaceDE/>
              <w:autoSpaceDN/>
              <w:adjustRightInd/>
              <w:spacing w:after="0"/>
              <w:jc w:val="right"/>
              <w:rPr>
                <w:rFonts w:eastAsia="Times New Roman" w:cs="Arial"/>
                <w:b/>
                <w:lang w:eastAsia="en-GB"/>
              </w:rPr>
            </w:pPr>
            <w:r w:rsidRPr="00A90445">
              <w:rPr>
                <w:rFonts w:eastAsia="Times New Roman" w:cs="Arial"/>
                <w:b/>
                <w:lang w:eastAsia="en-GB"/>
              </w:rPr>
              <w:t>0.657</w:t>
            </w:r>
          </w:p>
        </w:tc>
        <w:tc>
          <w:tcPr>
            <w:tcW w:w="1280" w:type="dxa"/>
            <w:tcBorders>
              <w:top w:val="nil"/>
              <w:left w:val="nil"/>
              <w:bottom w:val="single" w:sz="8" w:space="0" w:color="auto"/>
              <w:right w:val="single" w:sz="8" w:space="0" w:color="auto"/>
            </w:tcBorders>
            <w:shd w:val="clear" w:color="auto" w:fill="auto"/>
            <w:vAlign w:val="center"/>
          </w:tcPr>
          <w:p w:rsidR="006D0EDA" w:rsidRPr="00A90445" w:rsidP="006D0EDA">
            <w:pPr>
              <w:autoSpaceDE/>
              <w:autoSpaceDN/>
              <w:adjustRightInd/>
              <w:spacing w:after="0"/>
              <w:jc w:val="right"/>
              <w:rPr>
                <w:rFonts w:eastAsia="Times New Roman" w:cs="Arial"/>
                <w:b/>
                <w:lang w:eastAsia="en-GB"/>
              </w:rPr>
            </w:pPr>
            <w:r w:rsidRPr="00A90445">
              <w:rPr>
                <w:rFonts w:eastAsia="Times New Roman" w:cs="Arial"/>
                <w:b/>
                <w:lang w:eastAsia="en-GB"/>
              </w:rPr>
              <w:t>-0.159</w:t>
            </w:r>
          </w:p>
        </w:tc>
        <w:tc>
          <w:tcPr>
            <w:tcW w:w="1280" w:type="dxa"/>
            <w:tcBorders>
              <w:top w:val="nil"/>
              <w:left w:val="nil"/>
              <w:bottom w:val="single" w:sz="8" w:space="0" w:color="auto"/>
              <w:right w:val="single" w:sz="8" w:space="0" w:color="auto"/>
            </w:tcBorders>
            <w:shd w:val="clear" w:color="auto" w:fill="auto"/>
            <w:vAlign w:val="center"/>
          </w:tcPr>
          <w:p w:rsidR="006D0EDA" w:rsidRPr="00A90445" w:rsidP="006D0EDA">
            <w:pPr>
              <w:autoSpaceDE/>
              <w:autoSpaceDN/>
              <w:adjustRightInd/>
              <w:spacing w:after="0"/>
              <w:jc w:val="right"/>
              <w:rPr>
                <w:rFonts w:eastAsia="Times New Roman" w:cs="Arial"/>
                <w:b/>
                <w:lang w:eastAsia="en-GB"/>
              </w:rPr>
            </w:pPr>
            <w:r w:rsidRPr="00A90445">
              <w:rPr>
                <w:rFonts w:eastAsia="Times New Roman" w:cs="Arial"/>
                <w:b/>
                <w:lang w:eastAsia="en-GB"/>
              </w:rPr>
              <w:t>2.097</w:t>
            </w:r>
          </w:p>
        </w:tc>
      </w:tr>
    </w:tbl>
    <w:p w:rsidR="006D0EDA" w:rsidP="006D0EDA">
      <w:pPr>
        <w:spacing w:after="0"/>
        <w:rPr>
          <w:rFonts w:cs="Arial"/>
          <w:b/>
          <w:highlight w:val="yellow"/>
        </w:rPr>
      </w:pPr>
    </w:p>
    <w:p w:rsidR="004715C5" w:rsidP="006D0EDA">
      <w:pPr>
        <w:spacing w:after="0"/>
        <w:rPr>
          <w:rFonts w:cs="Arial"/>
          <w:b/>
          <w:highlight w:val="yellow"/>
        </w:rPr>
      </w:pPr>
    </w:p>
    <w:p w:rsidR="004715C5" w:rsidP="006D0EDA">
      <w:pPr>
        <w:spacing w:after="0"/>
        <w:rPr>
          <w:rFonts w:cs="Arial"/>
          <w:b/>
          <w:highlight w:val="yellow"/>
        </w:rPr>
      </w:pPr>
    </w:p>
    <w:p w:rsidR="004715C5" w:rsidP="006D0EDA">
      <w:pPr>
        <w:spacing w:after="0"/>
        <w:rPr>
          <w:rFonts w:cs="Arial"/>
          <w:b/>
          <w:highlight w:val="yellow"/>
        </w:rPr>
      </w:pPr>
    </w:p>
    <w:p w:rsidR="004715C5" w:rsidP="006D0EDA">
      <w:pPr>
        <w:spacing w:after="0"/>
        <w:rPr>
          <w:rFonts w:cs="Arial"/>
          <w:b/>
          <w:highlight w:val="yellow"/>
        </w:rPr>
      </w:pPr>
    </w:p>
    <w:p w:rsidR="004715C5" w:rsidP="006D0EDA">
      <w:pPr>
        <w:spacing w:after="0"/>
        <w:rPr>
          <w:rFonts w:cs="Arial"/>
          <w:b/>
          <w:highlight w:val="yellow"/>
        </w:rPr>
      </w:pPr>
    </w:p>
    <w:p w:rsidR="004715C5" w:rsidP="006D0EDA">
      <w:pPr>
        <w:spacing w:after="0"/>
        <w:rPr>
          <w:rFonts w:cs="Arial"/>
          <w:b/>
          <w:highlight w:val="yellow"/>
        </w:rPr>
      </w:pPr>
    </w:p>
    <w:p w:rsidR="004715C5" w:rsidP="006D0EDA">
      <w:pPr>
        <w:spacing w:after="0"/>
        <w:rPr>
          <w:rFonts w:cs="Arial"/>
          <w:b/>
          <w:highlight w:val="yellow"/>
        </w:rPr>
      </w:pPr>
    </w:p>
    <w:p w:rsidR="0093494E" w:rsidP="006D0EDA">
      <w:pPr>
        <w:spacing w:after="0"/>
        <w:rPr>
          <w:rFonts w:cs="Arial"/>
          <w:b/>
          <w:highlight w:val="yellow"/>
        </w:rPr>
      </w:pPr>
    </w:p>
    <w:p w:rsidR="0093494E" w:rsidP="006D0EDA">
      <w:pPr>
        <w:spacing w:after="0"/>
        <w:rPr>
          <w:rFonts w:cs="Arial"/>
          <w:b/>
          <w:highlight w:val="yellow"/>
        </w:rPr>
      </w:pPr>
    </w:p>
    <w:p w:rsidR="0093494E" w:rsidP="006D0EDA">
      <w:pPr>
        <w:spacing w:after="0"/>
        <w:rPr>
          <w:rFonts w:cs="Arial"/>
          <w:b/>
          <w:highlight w:val="yellow"/>
        </w:rPr>
      </w:pPr>
    </w:p>
    <w:p w:rsidR="00AB28CC" w:rsidP="006D0EDA">
      <w:pPr>
        <w:spacing w:after="0"/>
        <w:rPr>
          <w:rFonts w:cs="Arial"/>
          <w:b/>
          <w:highlight w:val="yellow"/>
        </w:rPr>
      </w:pPr>
    </w:p>
    <w:p w:rsidR="004715C5" w:rsidP="006D0EDA">
      <w:pPr>
        <w:spacing w:after="0"/>
        <w:rPr>
          <w:rFonts w:cs="Arial"/>
          <w:b/>
          <w:highlight w:val="yellow"/>
        </w:rPr>
      </w:pPr>
    </w:p>
    <w:p w:rsidR="004715C5" w:rsidRPr="00E95F45" w:rsidP="006D0EDA">
      <w:pPr>
        <w:spacing w:after="0"/>
        <w:rPr>
          <w:rFonts w:cs="Arial"/>
          <w:b/>
          <w:highlight w:val="yellow"/>
        </w:rPr>
      </w:pPr>
    </w:p>
    <w:p w:rsidR="006D0EDA" w:rsidRPr="004715C5" w:rsidP="006D0EDA">
      <w:pPr>
        <w:spacing w:after="0"/>
        <w:rPr>
          <w:rFonts w:cs="Arial"/>
          <w:b/>
        </w:rPr>
      </w:pPr>
      <w:r w:rsidRPr="004715C5">
        <w:rPr>
          <w:rFonts w:cs="Arial"/>
          <w:b/>
        </w:rPr>
        <w:t>3.2 Price inflation and cost changes</w:t>
      </w:r>
    </w:p>
    <w:p w:rsidR="006D0EDA" w:rsidRPr="00E95F45" w:rsidP="006D0EDA">
      <w:pPr>
        <w:tabs>
          <w:tab w:val="left" w:pos="1134"/>
        </w:tabs>
        <w:spacing w:after="0"/>
        <w:rPr>
          <w:rFonts w:cs="Arial"/>
          <w:highlight w:val="yellow"/>
        </w:rPr>
      </w:pPr>
      <w:r w:rsidRPr="004715C5">
        <w:rPr>
          <w:rFonts w:cs="Arial"/>
        </w:rPr>
        <w:t xml:space="preserve">Contractual price increases represent a significant cost pressure to the county council. The assumptions have been subject to regular review by services. </w:t>
      </w:r>
    </w:p>
    <w:p w:rsidR="006D0EDA" w:rsidRPr="00E95F45" w:rsidP="006D0EDA">
      <w:pPr>
        <w:tabs>
          <w:tab w:val="left" w:pos="1134"/>
        </w:tabs>
        <w:spacing w:after="0"/>
        <w:rPr>
          <w:rFonts w:cs="Arial"/>
          <w:highlight w:val="yellow"/>
        </w:rPr>
      </w:pPr>
    </w:p>
    <w:p w:rsidR="006D0EDA" w:rsidRPr="00AE6F94" w:rsidP="006D0EDA">
      <w:pPr>
        <w:spacing w:after="0"/>
        <w:rPr>
          <w:rFonts w:cs="Arial"/>
        </w:rPr>
      </w:pPr>
      <w:r w:rsidRPr="00AE6F94">
        <w:rPr>
          <w:rFonts w:cs="Arial"/>
        </w:rPr>
        <w:t xml:space="preserve">The updated inflationary pressures are analysed across the authority as per table 5:  </w:t>
      </w:r>
    </w:p>
    <w:p w:rsidR="006D0EDA" w:rsidRPr="00AE6F94" w:rsidP="006D0EDA">
      <w:pPr>
        <w:spacing w:after="0"/>
        <w:rPr>
          <w:rFonts w:cs="Arial"/>
        </w:rPr>
      </w:pPr>
    </w:p>
    <w:p w:rsidR="006D0EDA" w:rsidRPr="00AE6F94" w:rsidP="006D0EDA">
      <w:pPr>
        <w:spacing w:after="0"/>
        <w:rPr>
          <w:rFonts w:cs="Arial"/>
          <w:b/>
          <w:i/>
          <w:u w:val="single"/>
        </w:rPr>
      </w:pPr>
      <w:r w:rsidRPr="00AE6F94">
        <w:rPr>
          <w:rFonts w:cs="Arial"/>
          <w:b/>
          <w:i/>
          <w:u w:val="single"/>
        </w:rPr>
        <w:t>Table 5</w:t>
      </w:r>
    </w:p>
    <w:p w:rsidR="006D0EDA" w:rsidRPr="00E95F45" w:rsidP="006D0EDA">
      <w:pPr>
        <w:tabs>
          <w:tab w:val="left" w:pos="567"/>
          <w:tab w:val="left" w:pos="1134"/>
        </w:tabs>
        <w:spacing w:after="0"/>
        <w:rPr>
          <w:rFonts w:cs="Arial"/>
          <w:highlight w:val="yellow"/>
        </w:rPr>
      </w:pPr>
    </w:p>
    <w:tbl>
      <w:tblPr>
        <w:tblW w:w="8938" w:type="dxa"/>
        <w:tblInd w:w="-10" w:type="dxa"/>
        <w:tblLook w:val="04A0"/>
      </w:tblPr>
      <w:tblGrid>
        <w:gridCol w:w="4250"/>
        <w:gridCol w:w="1172"/>
        <w:gridCol w:w="1172"/>
        <w:gridCol w:w="1172"/>
        <w:gridCol w:w="1172"/>
      </w:tblGrid>
      <w:tr w:rsidTr="006D0EDA">
        <w:tblPrEx>
          <w:tblW w:w="8938" w:type="dxa"/>
          <w:tblInd w:w="-10" w:type="dxa"/>
          <w:tblLook w:val="04A0"/>
        </w:tblPrEx>
        <w:trPr>
          <w:trHeight w:val="275"/>
        </w:trPr>
        <w:tc>
          <w:tcPr>
            <w:tcW w:w="425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D0EDA" w:rsidRPr="00AE6F94" w:rsidP="006D0EDA">
            <w:pPr>
              <w:autoSpaceDE/>
              <w:autoSpaceDN/>
              <w:adjustRightInd/>
              <w:spacing w:after="0"/>
              <w:rPr>
                <w:rFonts w:eastAsia="Times New Roman" w:cs="Arial"/>
                <w:lang w:eastAsia="en-GB"/>
              </w:rPr>
            </w:pPr>
            <w:r w:rsidRPr="00AE6F94">
              <w:rPr>
                <w:rFonts w:eastAsia="Times New Roman" w:cs="Arial"/>
                <w:lang w:eastAsia="en-GB"/>
              </w:rPr>
              <w:t> </w:t>
            </w:r>
          </w:p>
        </w:tc>
        <w:tc>
          <w:tcPr>
            <w:tcW w:w="1172" w:type="dxa"/>
            <w:tcBorders>
              <w:top w:val="single" w:sz="8" w:space="0" w:color="auto"/>
              <w:left w:val="nil"/>
              <w:bottom w:val="nil"/>
              <w:right w:val="single" w:sz="8" w:space="0" w:color="auto"/>
            </w:tcBorders>
            <w:shd w:val="clear" w:color="000000" w:fill="BFBFBF"/>
            <w:noWrap/>
            <w:vAlign w:val="center"/>
            <w:hideMark/>
          </w:tcPr>
          <w:p w:rsidR="006D0EDA" w:rsidRPr="00AE6F94" w:rsidP="006D0EDA">
            <w:pPr>
              <w:autoSpaceDE/>
              <w:autoSpaceDN/>
              <w:adjustRightInd/>
              <w:spacing w:after="0"/>
              <w:jc w:val="center"/>
              <w:rPr>
                <w:rFonts w:eastAsia="Times New Roman" w:cs="Arial"/>
                <w:b/>
                <w:bCs/>
                <w:lang w:eastAsia="en-GB"/>
              </w:rPr>
            </w:pPr>
            <w:r w:rsidRPr="00AE6F94">
              <w:rPr>
                <w:rFonts w:eastAsia="Times New Roman" w:cs="Arial"/>
                <w:b/>
                <w:bCs/>
                <w:lang w:eastAsia="en-GB"/>
              </w:rPr>
              <w:t>2021/22</w:t>
            </w:r>
          </w:p>
        </w:tc>
        <w:tc>
          <w:tcPr>
            <w:tcW w:w="1172" w:type="dxa"/>
            <w:tcBorders>
              <w:top w:val="single" w:sz="8" w:space="0" w:color="auto"/>
              <w:left w:val="nil"/>
              <w:bottom w:val="nil"/>
              <w:right w:val="single" w:sz="8" w:space="0" w:color="auto"/>
            </w:tcBorders>
            <w:shd w:val="clear" w:color="000000" w:fill="BFBFBF"/>
            <w:noWrap/>
            <w:vAlign w:val="center"/>
            <w:hideMark/>
          </w:tcPr>
          <w:p w:rsidR="006D0EDA" w:rsidRPr="00AE6F94" w:rsidP="006D0EDA">
            <w:pPr>
              <w:autoSpaceDE/>
              <w:autoSpaceDN/>
              <w:adjustRightInd/>
              <w:spacing w:after="0"/>
              <w:jc w:val="center"/>
              <w:rPr>
                <w:rFonts w:eastAsia="Times New Roman" w:cs="Arial"/>
                <w:b/>
                <w:bCs/>
                <w:lang w:eastAsia="en-GB"/>
              </w:rPr>
            </w:pPr>
            <w:r w:rsidRPr="00AE6F94">
              <w:rPr>
                <w:rFonts w:eastAsia="Times New Roman" w:cs="Arial"/>
                <w:b/>
                <w:bCs/>
                <w:lang w:eastAsia="en-GB"/>
              </w:rPr>
              <w:t>2022/23</w:t>
            </w:r>
          </w:p>
        </w:tc>
        <w:tc>
          <w:tcPr>
            <w:tcW w:w="1172" w:type="dxa"/>
            <w:tcBorders>
              <w:top w:val="single" w:sz="8" w:space="0" w:color="auto"/>
              <w:left w:val="nil"/>
              <w:bottom w:val="nil"/>
              <w:right w:val="single" w:sz="8" w:space="0" w:color="auto"/>
            </w:tcBorders>
            <w:shd w:val="clear" w:color="000000" w:fill="BFBFBF"/>
            <w:noWrap/>
            <w:vAlign w:val="center"/>
            <w:hideMark/>
          </w:tcPr>
          <w:p w:rsidR="006D0EDA" w:rsidRPr="00AE6F94" w:rsidP="006D0EDA">
            <w:pPr>
              <w:autoSpaceDE/>
              <w:autoSpaceDN/>
              <w:adjustRightInd/>
              <w:spacing w:after="0"/>
              <w:jc w:val="center"/>
              <w:rPr>
                <w:rFonts w:eastAsia="Times New Roman" w:cs="Arial"/>
                <w:b/>
                <w:bCs/>
                <w:lang w:eastAsia="en-GB"/>
              </w:rPr>
            </w:pPr>
            <w:r w:rsidRPr="00AE6F94">
              <w:rPr>
                <w:rFonts w:eastAsia="Times New Roman" w:cs="Arial"/>
                <w:b/>
                <w:bCs/>
                <w:lang w:eastAsia="en-GB"/>
              </w:rPr>
              <w:t>2023/24</w:t>
            </w:r>
          </w:p>
        </w:tc>
        <w:tc>
          <w:tcPr>
            <w:tcW w:w="1172" w:type="dxa"/>
            <w:tcBorders>
              <w:top w:val="single" w:sz="8" w:space="0" w:color="auto"/>
              <w:left w:val="nil"/>
              <w:bottom w:val="nil"/>
              <w:right w:val="single" w:sz="8" w:space="0" w:color="auto"/>
            </w:tcBorders>
            <w:shd w:val="clear" w:color="000000" w:fill="BFBFBF"/>
            <w:noWrap/>
            <w:vAlign w:val="center"/>
            <w:hideMark/>
          </w:tcPr>
          <w:p w:rsidR="006D0EDA" w:rsidRPr="00AE6F94" w:rsidP="006D0EDA">
            <w:pPr>
              <w:autoSpaceDE/>
              <w:autoSpaceDN/>
              <w:adjustRightInd/>
              <w:spacing w:after="0"/>
              <w:jc w:val="center"/>
              <w:rPr>
                <w:rFonts w:eastAsia="Times New Roman" w:cs="Arial"/>
                <w:b/>
                <w:bCs/>
                <w:lang w:eastAsia="en-GB"/>
              </w:rPr>
            </w:pPr>
            <w:r w:rsidRPr="00AE6F94">
              <w:rPr>
                <w:rFonts w:eastAsia="Times New Roman" w:cs="Arial"/>
                <w:b/>
                <w:bCs/>
                <w:lang w:eastAsia="en-GB"/>
              </w:rPr>
              <w:t>Total</w:t>
            </w:r>
          </w:p>
        </w:tc>
      </w:tr>
      <w:tr w:rsidTr="006D0EDA">
        <w:tblPrEx>
          <w:tblW w:w="8938" w:type="dxa"/>
          <w:tblInd w:w="-10" w:type="dxa"/>
          <w:tblLook w:val="04A0"/>
        </w:tblPrEx>
        <w:trPr>
          <w:trHeight w:val="284"/>
        </w:trPr>
        <w:tc>
          <w:tcPr>
            <w:tcW w:w="4250" w:type="dxa"/>
            <w:vMerge/>
            <w:tcBorders>
              <w:top w:val="single" w:sz="8" w:space="0" w:color="auto"/>
              <w:left w:val="single" w:sz="8" w:space="0" w:color="auto"/>
              <w:bottom w:val="single" w:sz="8" w:space="0" w:color="000000"/>
              <w:right w:val="single" w:sz="8" w:space="0" w:color="auto"/>
            </w:tcBorders>
            <w:vAlign w:val="center"/>
            <w:hideMark/>
          </w:tcPr>
          <w:p w:rsidR="006D0EDA" w:rsidRPr="00AE6F94" w:rsidP="006D0EDA">
            <w:pPr>
              <w:autoSpaceDE/>
              <w:autoSpaceDN/>
              <w:adjustRightInd/>
              <w:spacing w:after="0"/>
              <w:jc w:val="left"/>
              <w:rPr>
                <w:rFonts w:eastAsia="Times New Roman" w:cs="Arial"/>
                <w:lang w:eastAsia="en-GB"/>
              </w:rPr>
            </w:pPr>
          </w:p>
        </w:tc>
        <w:tc>
          <w:tcPr>
            <w:tcW w:w="1172" w:type="dxa"/>
            <w:tcBorders>
              <w:top w:val="nil"/>
              <w:left w:val="nil"/>
              <w:bottom w:val="single" w:sz="8" w:space="0" w:color="auto"/>
              <w:right w:val="single" w:sz="8" w:space="0" w:color="auto"/>
            </w:tcBorders>
            <w:shd w:val="clear" w:color="000000" w:fill="BFBFBF"/>
            <w:noWrap/>
            <w:vAlign w:val="center"/>
            <w:hideMark/>
          </w:tcPr>
          <w:p w:rsidR="006D0EDA" w:rsidRPr="00AE6F94" w:rsidP="006D0EDA">
            <w:pPr>
              <w:autoSpaceDE/>
              <w:autoSpaceDN/>
              <w:adjustRightInd/>
              <w:spacing w:after="0"/>
              <w:jc w:val="center"/>
              <w:rPr>
                <w:rFonts w:eastAsia="Times New Roman" w:cs="Arial"/>
                <w:b/>
                <w:bCs/>
                <w:lang w:eastAsia="en-GB"/>
              </w:rPr>
            </w:pPr>
            <w:r w:rsidRPr="00AE6F94">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6D0EDA" w:rsidRPr="00AE6F94" w:rsidP="006D0EDA">
            <w:pPr>
              <w:autoSpaceDE/>
              <w:autoSpaceDN/>
              <w:adjustRightInd/>
              <w:spacing w:after="0"/>
              <w:jc w:val="center"/>
              <w:rPr>
                <w:rFonts w:eastAsia="Times New Roman" w:cs="Arial"/>
                <w:b/>
                <w:bCs/>
                <w:lang w:eastAsia="en-GB"/>
              </w:rPr>
            </w:pPr>
            <w:r w:rsidRPr="00AE6F94">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6D0EDA" w:rsidRPr="00AE6F94" w:rsidP="006D0EDA">
            <w:pPr>
              <w:autoSpaceDE/>
              <w:autoSpaceDN/>
              <w:adjustRightInd/>
              <w:spacing w:after="0"/>
              <w:jc w:val="center"/>
              <w:rPr>
                <w:rFonts w:eastAsia="Times New Roman" w:cs="Arial"/>
                <w:b/>
                <w:bCs/>
                <w:lang w:eastAsia="en-GB"/>
              </w:rPr>
            </w:pPr>
            <w:r w:rsidRPr="00AE6F94">
              <w:rPr>
                <w:rFonts w:eastAsia="Times New Roman" w:cs="Arial"/>
                <w:b/>
                <w:bCs/>
                <w:lang w:eastAsia="en-GB"/>
              </w:rPr>
              <w:t>£m</w:t>
            </w:r>
          </w:p>
        </w:tc>
        <w:tc>
          <w:tcPr>
            <w:tcW w:w="1172" w:type="dxa"/>
            <w:tcBorders>
              <w:top w:val="nil"/>
              <w:left w:val="nil"/>
              <w:bottom w:val="single" w:sz="8" w:space="0" w:color="auto"/>
              <w:right w:val="single" w:sz="8" w:space="0" w:color="auto"/>
            </w:tcBorders>
            <w:shd w:val="clear" w:color="000000" w:fill="BFBFBF"/>
            <w:noWrap/>
            <w:vAlign w:val="center"/>
            <w:hideMark/>
          </w:tcPr>
          <w:p w:rsidR="006D0EDA" w:rsidRPr="00AE6F94" w:rsidP="006D0EDA">
            <w:pPr>
              <w:autoSpaceDE/>
              <w:autoSpaceDN/>
              <w:adjustRightInd/>
              <w:spacing w:after="0"/>
              <w:jc w:val="center"/>
              <w:rPr>
                <w:rFonts w:eastAsia="Times New Roman" w:cs="Arial"/>
                <w:b/>
                <w:bCs/>
                <w:lang w:eastAsia="en-GB"/>
              </w:rPr>
            </w:pPr>
            <w:r w:rsidRPr="00AE6F94">
              <w:rPr>
                <w:rFonts w:eastAsia="Times New Roman" w:cs="Arial"/>
                <w:b/>
                <w:bCs/>
                <w:lang w:eastAsia="en-GB"/>
              </w:rPr>
              <w:t>£m</w:t>
            </w:r>
          </w:p>
        </w:tc>
      </w:tr>
      <w:tr w:rsidTr="00AE6F94">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rPr>
                <w:rFonts w:eastAsia="Times New Roman" w:cs="Arial"/>
                <w:lang w:eastAsia="en-GB"/>
              </w:rPr>
            </w:pPr>
            <w:r w:rsidRPr="00AE6F94">
              <w:rPr>
                <w:rFonts w:eastAsia="Times New Roman" w:cs="Arial"/>
                <w:lang w:eastAsia="en-GB"/>
              </w:rPr>
              <w:t>Adults Services</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17.673</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13.911</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14.705</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4715C5">
            <w:pPr>
              <w:autoSpaceDE/>
              <w:autoSpaceDN/>
              <w:adjustRightInd/>
              <w:spacing w:after="0"/>
              <w:jc w:val="right"/>
              <w:rPr>
                <w:rFonts w:eastAsia="Times New Roman" w:cs="Arial"/>
                <w:b/>
                <w:bCs/>
                <w:lang w:eastAsia="en-GB"/>
              </w:rPr>
            </w:pPr>
            <w:r>
              <w:rPr>
                <w:rFonts w:eastAsia="Times New Roman" w:cs="Arial"/>
                <w:b/>
                <w:bCs/>
                <w:lang w:eastAsia="en-GB"/>
              </w:rPr>
              <w:t>4</w:t>
            </w:r>
            <w:r w:rsidR="004715C5">
              <w:rPr>
                <w:rFonts w:eastAsia="Times New Roman" w:cs="Arial"/>
                <w:b/>
                <w:bCs/>
                <w:lang w:eastAsia="en-GB"/>
              </w:rPr>
              <w:t>6.289</w:t>
            </w:r>
          </w:p>
        </w:tc>
      </w:tr>
      <w:tr w:rsidTr="00AE6F94">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rPr>
                <w:rFonts w:eastAsia="Times New Roman" w:cs="Arial"/>
                <w:lang w:eastAsia="en-GB"/>
              </w:rPr>
            </w:pPr>
            <w:r w:rsidRPr="00AE6F94">
              <w:rPr>
                <w:rFonts w:eastAsia="Times New Roman" w:cs="Arial"/>
                <w:lang w:eastAsia="en-GB"/>
              </w:rPr>
              <w:t>Children's Services</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1.388</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1.930</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2.181</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5.499</w:t>
            </w:r>
          </w:p>
        </w:tc>
      </w:tr>
      <w:tr w:rsidTr="00AE6F94">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rPr>
                <w:rFonts w:eastAsia="Times New Roman" w:cs="Arial"/>
                <w:lang w:eastAsia="en-GB"/>
              </w:rPr>
            </w:pPr>
            <w:r w:rsidRPr="00AE6F94">
              <w:rPr>
                <w:rFonts w:eastAsia="Times New Roman" w:cs="Arial"/>
                <w:lang w:eastAsia="en-GB"/>
              </w:rPr>
              <w:t>Waste Services</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2.124</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2.361</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2.479</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6.964</w:t>
            </w:r>
          </w:p>
        </w:tc>
      </w:tr>
      <w:tr w:rsidTr="00AE6F94">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rPr>
                <w:rFonts w:eastAsia="Times New Roman" w:cs="Arial"/>
                <w:lang w:eastAsia="en-GB"/>
              </w:rPr>
            </w:pPr>
            <w:r w:rsidRPr="00AE6F94">
              <w:rPr>
                <w:rFonts w:eastAsia="Times New Roman" w:cs="Arial"/>
                <w:lang w:eastAsia="en-GB"/>
              </w:rPr>
              <w:t>Transport Services</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1.463</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1.553</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1.632</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4.648</w:t>
            </w:r>
          </w:p>
        </w:tc>
      </w:tr>
      <w:tr w:rsidTr="00AE6F94">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rPr>
                <w:rFonts w:eastAsia="Times New Roman" w:cs="Arial"/>
                <w:lang w:eastAsia="en-GB"/>
              </w:rPr>
            </w:pPr>
            <w:r w:rsidRPr="00AE6F94">
              <w:rPr>
                <w:rFonts w:eastAsia="Times New Roman" w:cs="Arial"/>
                <w:lang w:eastAsia="en-GB"/>
              </w:rPr>
              <w:t>Other Services</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-1.455</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1.710</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lang w:eastAsia="en-GB"/>
              </w:rPr>
            </w:pPr>
            <w:r>
              <w:rPr>
                <w:rFonts w:eastAsia="Times New Roman" w:cs="Arial"/>
                <w:lang w:eastAsia="en-GB"/>
              </w:rPr>
              <w:t>2.403</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2.658</w:t>
            </w:r>
          </w:p>
        </w:tc>
      </w:tr>
      <w:tr w:rsidTr="00AE6F94">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left"/>
              <w:rPr>
                <w:rFonts w:eastAsia="Times New Roman" w:cs="Arial"/>
                <w:b/>
                <w:bCs/>
                <w:lang w:eastAsia="en-GB"/>
              </w:rPr>
            </w:pPr>
            <w:r w:rsidRPr="00AE6F94">
              <w:rPr>
                <w:rFonts w:eastAsia="Times New Roman" w:cs="Arial"/>
                <w:b/>
                <w:bCs/>
                <w:lang w:eastAsia="en-GB"/>
              </w:rPr>
              <w:t>Revised price inflation requirements</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4715C5">
            <w:pPr>
              <w:autoSpaceDE/>
              <w:autoSpaceDN/>
              <w:adjustRightInd/>
              <w:spacing w:after="0"/>
              <w:jc w:val="right"/>
              <w:rPr>
                <w:rFonts w:eastAsia="Times New Roman" w:cs="Arial"/>
                <w:b/>
                <w:bCs/>
                <w:lang w:eastAsia="en-GB"/>
              </w:rPr>
            </w:pPr>
            <w:r>
              <w:rPr>
                <w:rFonts w:eastAsia="Times New Roman" w:cs="Arial"/>
                <w:b/>
                <w:bCs/>
                <w:lang w:eastAsia="en-GB"/>
              </w:rPr>
              <w:t>2</w:t>
            </w:r>
            <w:r w:rsidR="004715C5">
              <w:rPr>
                <w:rFonts w:eastAsia="Times New Roman" w:cs="Arial"/>
                <w:b/>
                <w:bCs/>
                <w:lang w:eastAsia="en-GB"/>
              </w:rPr>
              <w:t>1.193</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21.465</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23.400</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4715C5">
            <w:pPr>
              <w:autoSpaceDE/>
              <w:autoSpaceDN/>
              <w:adjustRightInd/>
              <w:spacing w:after="0"/>
              <w:jc w:val="right"/>
              <w:rPr>
                <w:rFonts w:eastAsia="Times New Roman" w:cs="Arial"/>
                <w:b/>
                <w:bCs/>
                <w:lang w:eastAsia="en-GB"/>
              </w:rPr>
            </w:pPr>
            <w:r>
              <w:rPr>
                <w:rFonts w:eastAsia="Times New Roman" w:cs="Arial"/>
                <w:b/>
                <w:bCs/>
                <w:lang w:eastAsia="en-GB"/>
              </w:rPr>
              <w:t>6</w:t>
            </w:r>
            <w:r w:rsidR="004715C5">
              <w:rPr>
                <w:rFonts w:eastAsia="Times New Roman" w:cs="Arial"/>
                <w:b/>
                <w:bCs/>
                <w:lang w:eastAsia="en-GB"/>
              </w:rPr>
              <w:t>6.058</w:t>
            </w:r>
          </w:p>
        </w:tc>
      </w:tr>
      <w:tr w:rsidTr="006D0EDA">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right"/>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right"/>
              <w:rPr>
                <w:rFonts w:eastAsia="Times New Roman" w:cs="Arial"/>
                <w:b/>
                <w:bCs/>
                <w:lang w:eastAsia="en-GB"/>
              </w:rPr>
            </w:pPr>
            <w:r w:rsidRPr="00AE6F94">
              <w:rPr>
                <w:rFonts w:eastAsia="Times New Roman" w:cs="Arial"/>
                <w:b/>
                <w:bCs/>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right"/>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right"/>
              <w:rPr>
                <w:rFonts w:eastAsia="Times New Roman" w:cs="Arial"/>
                <w:b/>
                <w:bCs/>
                <w:lang w:eastAsia="en-GB"/>
              </w:rPr>
            </w:pPr>
            <w:r w:rsidRPr="00AE6F94">
              <w:rPr>
                <w:rFonts w:eastAsia="Times New Roman" w:cs="Arial"/>
                <w:b/>
                <w:bCs/>
                <w:lang w:eastAsia="en-GB"/>
              </w:rPr>
              <w:t> </w:t>
            </w:r>
          </w:p>
        </w:tc>
      </w:tr>
      <w:tr w:rsidTr="006D0EDA">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AE6F94" w:rsidRPr="00AE6F94" w:rsidP="00AE6F94">
            <w:pPr>
              <w:autoSpaceDE/>
              <w:autoSpaceDN/>
              <w:adjustRightInd/>
              <w:spacing w:after="0"/>
              <w:jc w:val="left"/>
              <w:rPr>
                <w:rFonts w:eastAsia="Times New Roman" w:cs="Arial"/>
                <w:b/>
                <w:bCs/>
                <w:lang w:eastAsia="en-GB"/>
              </w:rPr>
            </w:pPr>
            <w:r w:rsidRPr="00AE6F94">
              <w:rPr>
                <w:rFonts w:eastAsia="Times New Roman" w:cs="Arial"/>
                <w:b/>
                <w:bCs/>
                <w:lang w:eastAsia="en-GB"/>
              </w:rPr>
              <w:t>Price inflation – previous MTFS</w:t>
            </w:r>
          </w:p>
        </w:tc>
        <w:tc>
          <w:tcPr>
            <w:tcW w:w="1172" w:type="dxa"/>
            <w:tcBorders>
              <w:top w:val="nil"/>
              <w:left w:val="nil"/>
              <w:bottom w:val="single" w:sz="8" w:space="0" w:color="auto"/>
              <w:right w:val="single" w:sz="8" w:space="0" w:color="auto"/>
            </w:tcBorders>
            <w:shd w:val="clear" w:color="auto" w:fill="auto"/>
            <w:noWrap/>
            <w:vAlign w:val="center"/>
            <w:hideMark/>
          </w:tcPr>
          <w:p w:rsidR="00AE6F94" w:rsidRPr="00AE6F94" w:rsidP="00AE6F94">
            <w:pPr>
              <w:autoSpaceDE/>
              <w:autoSpaceDN/>
              <w:adjustRightInd/>
              <w:spacing w:after="0"/>
              <w:jc w:val="right"/>
              <w:rPr>
                <w:rFonts w:eastAsia="Times New Roman" w:cs="Arial"/>
                <w:b/>
                <w:bCs/>
                <w:lang w:eastAsia="en-GB"/>
              </w:rPr>
            </w:pPr>
            <w:r w:rsidRPr="00AE6F94">
              <w:rPr>
                <w:rFonts w:eastAsia="Times New Roman" w:cs="Arial"/>
                <w:b/>
                <w:bCs/>
                <w:lang w:eastAsia="en-GB"/>
              </w:rPr>
              <w:t>21.207</w:t>
            </w:r>
          </w:p>
        </w:tc>
        <w:tc>
          <w:tcPr>
            <w:tcW w:w="1172" w:type="dxa"/>
            <w:tcBorders>
              <w:top w:val="nil"/>
              <w:left w:val="nil"/>
              <w:bottom w:val="single" w:sz="8" w:space="0" w:color="auto"/>
              <w:right w:val="single" w:sz="8" w:space="0" w:color="auto"/>
            </w:tcBorders>
            <w:shd w:val="clear" w:color="auto" w:fill="auto"/>
            <w:noWrap/>
            <w:vAlign w:val="center"/>
            <w:hideMark/>
          </w:tcPr>
          <w:p w:rsidR="00AE6F94" w:rsidRPr="00AE6F94" w:rsidP="00AE6F94">
            <w:pPr>
              <w:autoSpaceDE/>
              <w:autoSpaceDN/>
              <w:adjustRightInd/>
              <w:spacing w:after="0"/>
              <w:jc w:val="right"/>
              <w:rPr>
                <w:rFonts w:eastAsia="Times New Roman" w:cs="Arial"/>
                <w:b/>
                <w:bCs/>
                <w:lang w:eastAsia="en-GB"/>
              </w:rPr>
            </w:pPr>
            <w:r w:rsidRPr="00AE6F94">
              <w:rPr>
                <w:rFonts w:eastAsia="Times New Roman" w:cs="Arial"/>
                <w:b/>
                <w:bCs/>
                <w:lang w:eastAsia="en-GB"/>
              </w:rPr>
              <w:t>21.508</w:t>
            </w:r>
          </w:p>
        </w:tc>
        <w:tc>
          <w:tcPr>
            <w:tcW w:w="1172" w:type="dxa"/>
            <w:tcBorders>
              <w:top w:val="nil"/>
              <w:left w:val="nil"/>
              <w:bottom w:val="single" w:sz="8" w:space="0" w:color="auto"/>
              <w:right w:val="single" w:sz="8" w:space="0" w:color="auto"/>
            </w:tcBorders>
            <w:shd w:val="clear" w:color="auto" w:fill="auto"/>
            <w:noWrap/>
            <w:vAlign w:val="center"/>
            <w:hideMark/>
          </w:tcPr>
          <w:p w:rsidR="00AE6F94" w:rsidRPr="00AE6F94" w:rsidP="00AE6F94">
            <w:pPr>
              <w:autoSpaceDE/>
              <w:autoSpaceDN/>
              <w:adjustRightInd/>
              <w:spacing w:after="0"/>
              <w:jc w:val="right"/>
              <w:rPr>
                <w:rFonts w:eastAsia="Times New Roman" w:cs="Arial"/>
                <w:b/>
                <w:bCs/>
                <w:lang w:eastAsia="en-GB"/>
              </w:rPr>
            </w:pPr>
            <w:r>
              <w:rPr>
                <w:rFonts w:eastAsia="Times New Roman" w:cs="Arial"/>
                <w:b/>
                <w:bCs/>
                <w:lang w:eastAsia="en-GB"/>
              </w:rPr>
              <w:t>23.418</w:t>
            </w:r>
          </w:p>
        </w:tc>
        <w:tc>
          <w:tcPr>
            <w:tcW w:w="1172" w:type="dxa"/>
            <w:tcBorders>
              <w:top w:val="nil"/>
              <w:left w:val="nil"/>
              <w:bottom w:val="single" w:sz="8" w:space="0" w:color="auto"/>
              <w:right w:val="single" w:sz="8" w:space="0" w:color="auto"/>
            </w:tcBorders>
            <w:shd w:val="clear" w:color="auto" w:fill="auto"/>
            <w:noWrap/>
            <w:vAlign w:val="center"/>
            <w:hideMark/>
          </w:tcPr>
          <w:p w:rsidR="00AE6F94" w:rsidRPr="00AE6F94" w:rsidP="00AE6F94">
            <w:pPr>
              <w:autoSpaceDE/>
              <w:autoSpaceDN/>
              <w:adjustRightInd/>
              <w:spacing w:after="0"/>
              <w:jc w:val="right"/>
              <w:rPr>
                <w:rFonts w:eastAsia="Times New Roman" w:cs="Arial"/>
                <w:b/>
                <w:bCs/>
                <w:lang w:eastAsia="en-GB"/>
              </w:rPr>
            </w:pPr>
            <w:r>
              <w:rPr>
                <w:rFonts w:eastAsia="Times New Roman" w:cs="Arial"/>
                <w:b/>
                <w:bCs/>
                <w:lang w:eastAsia="en-GB"/>
              </w:rPr>
              <w:t>66.133</w:t>
            </w:r>
          </w:p>
        </w:tc>
      </w:tr>
      <w:tr w:rsidTr="006D0EDA">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right"/>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right"/>
              <w:rPr>
                <w:rFonts w:eastAsia="Times New Roman" w:cs="Arial"/>
                <w:b/>
                <w:bCs/>
                <w:lang w:eastAsia="en-GB"/>
              </w:rPr>
            </w:pPr>
            <w:r w:rsidRPr="00AE6F94">
              <w:rPr>
                <w:rFonts w:eastAsia="Times New Roman" w:cs="Arial"/>
                <w:b/>
                <w:bCs/>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right"/>
              <w:rPr>
                <w:rFonts w:eastAsia="Times New Roman" w:cs="Arial"/>
                <w:lang w:eastAsia="en-GB"/>
              </w:rPr>
            </w:pPr>
            <w:r w:rsidRPr="00AE6F94">
              <w:rPr>
                <w:rFonts w:eastAsia="Times New Roman" w:cs="Arial"/>
                <w:lang w:eastAsia="en-GB"/>
              </w:rPr>
              <w:t> </w:t>
            </w:r>
          </w:p>
        </w:tc>
        <w:tc>
          <w:tcPr>
            <w:tcW w:w="1172" w:type="dxa"/>
            <w:tcBorders>
              <w:top w:val="nil"/>
              <w:left w:val="nil"/>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jc w:val="right"/>
              <w:rPr>
                <w:rFonts w:eastAsia="Times New Roman" w:cs="Arial"/>
                <w:b/>
                <w:bCs/>
                <w:lang w:eastAsia="en-GB"/>
              </w:rPr>
            </w:pPr>
            <w:r w:rsidRPr="00AE6F94">
              <w:rPr>
                <w:rFonts w:eastAsia="Times New Roman" w:cs="Arial"/>
                <w:b/>
                <w:bCs/>
                <w:lang w:eastAsia="en-GB"/>
              </w:rPr>
              <w:t> </w:t>
            </w:r>
          </w:p>
        </w:tc>
      </w:tr>
      <w:tr w:rsidTr="00AE6F94">
        <w:tblPrEx>
          <w:tblW w:w="8938" w:type="dxa"/>
          <w:tblInd w:w="-10" w:type="dxa"/>
          <w:tblLook w:val="04A0"/>
        </w:tblPrEx>
        <w:trPr>
          <w:trHeight w:val="284"/>
        </w:trPr>
        <w:tc>
          <w:tcPr>
            <w:tcW w:w="4250" w:type="dxa"/>
            <w:tcBorders>
              <w:top w:val="nil"/>
              <w:left w:val="single" w:sz="8" w:space="0" w:color="auto"/>
              <w:bottom w:val="single" w:sz="8" w:space="0" w:color="auto"/>
              <w:right w:val="single" w:sz="8" w:space="0" w:color="auto"/>
            </w:tcBorders>
            <w:shd w:val="clear" w:color="auto" w:fill="auto"/>
            <w:noWrap/>
            <w:vAlign w:val="center"/>
            <w:hideMark/>
          </w:tcPr>
          <w:p w:rsidR="006D0EDA" w:rsidRPr="00AE6F94" w:rsidP="006D0EDA">
            <w:pPr>
              <w:autoSpaceDE/>
              <w:autoSpaceDN/>
              <w:adjustRightInd/>
              <w:spacing w:after="0"/>
              <w:rPr>
                <w:rFonts w:eastAsia="Times New Roman" w:cs="Arial"/>
                <w:b/>
                <w:bCs/>
                <w:lang w:eastAsia="en-GB"/>
              </w:rPr>
            </w:pPr>
            <w:r w:rsidRPr="00AE6F94">
              <w:rPr>
                <w:rFonts w:eastAsia="Times New Roman" w:cs="Arial"/>
                <w:b/>
                <w:bCs/>
                <w:lang w:eastAsia="en-GB"/>
              </w:rPr>
              <w:t>Variance</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-0.014</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-0.043</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6D0EDA">
            <w:pPr>
              <w:autoSpaceDE/>
              <w:autoSpaceDN/>
              <w:adjustRightInd/>
              <w:spacing w:after="0"/>
              <w:jc w:val="right"/>
              <w:rPr>
                <w:rFonts w:eastAsia="Times New Roman" w:cs="Arial"/>
                <w:b/>
                <w:bCs/>
                <w:lang w:eastAsia="en-GB"/>
              </w:rPr>
            </w:pPr>
            <w:r>
              <w:rPr>
                <w:rFonts w:eastAsia="Times New Roman" w:cs="Arial"/>
                <w:b/>
                <w:bCs/>
                <w:lang w:eastAsia="en-GB"/>
              </w:rPr>
              <w:t>-0.018</w:t>
            </w:r>
          </w:p>
        </w:tc>
        <w:tc>
          <w:tcPr>
            <w:tcW w:w="1172" w:type="dxa"/>
            <w:tcBorders>
              <w:top w:val="nil"/>
              <w:left w:val="nil"/>
              <w:bottom w:val="single" w:sz="8" w:space="0" w:color="auto"/>
              <w:right w:val="single" w:sz="8" w:space="0" w:color="auto"/>
            </w:tcBorders>
            <w:shd w:val="clear" w:color="auto" w:fill="auto"/>
            <w:noWrap/>
            <w:vAlign w:val="center"/>
          </w:tcPr>
          <w:p w:rsidR="006D0EDA" w:rsidRPr="00AE6F94" w:rsidP="001A5C91">
            <w:pPr>
              <w:autoSpaceDE/>
              <w:autoSpaceDN/>
              <w:adjustRightInd/>
              <w:spacing w:after="0"/>
              <w:jc w:val="right"/>
              <w:rPr>
                <w:rFonts w:eastAsia="Times New Roman" w:cs="Arial"/>
                <w:b/>
                <w:bCs/>
                <w:lang w:eastAsia="en-GB"/>
              </w:rPr>
            </w:pPr>
            <w:r>
              <w:rPr>
                <w:rFonts w:eastAsia="Times New Roman" w:cs="Arial"/>
                <w:b/>
                <w:bCs/>
                <w:lang w:eastAsia="en-GB"/>
              </w:rPr>
              <w:t>-0.07</w:t>
            </w:r>
            <w:r w:rsidR="001A5C91">
              <w:rPr>
                <w:rFonts w:eastAsia="Times New Roman" w:cs="Arial"/>
                <w:b/>
                <w:bCs/>
                <w:lang w:eastAsia="en-GB"/>
              </w:rPr>
              <w:t>5</w:t>
            </w:r>
          </w:p>
        </w:tc>
      </w:tr>
    </w:tbl>
    <w:p w:rsidR="006D0EDA" w:rsidRPr="00E95F45" w:rsidP="006D0EDA">
      <w:pPr>
        <w:spacing w:after="0"/>
        <w:rPr>
          <w:rFonts w:cs="Arial"/>
          <w:highlight w:val="yellow"/>
        </w:rPr>
      </w:pPr>
    </w:p>
    <w:p w:rsidR="006D0EDA" w:rsidRPr="00AE6F94" w:rsidP="006D0EDA">
      <w:pPr>
        <w:tabs>
          <w:tab w:val="left" w:pos="567"/>
          <w:tab w:val="left" w:pos="1134"/>
        </w:tabs>
        <w:spacing w:after="0"/>
        <w:rPr>
          <w:rFonts w:cs="Arial"/>
          <w:b/>
        </w:rPr>
      </w:pPr>
      <w:r w:rsidRPr="00AE6F94">
        <w:rPr>
          <w:rFonts w:cs="Arial"/>
          <w:b/>
        </w:rPr>
        <w:t>3.3</w:t>
      </w:r>
      <w:r w:rsidRPr="00AE6F94">
        <w:rPr>
          <w:rFonts w:cs="Arial"/>
          <w:b/>
        </w:rPr>
        <w:tab/>
        <w:t>Demand pressures</w:t>
      </w:r>
    </w:p>
    <w:p w:rsidR="006D0EDA" w:rsidRPr="00AE6F94" w:rsidP="006D0EDA">
      <w:pPr>
        <w:tabs>
          <w:tab w:val="left" w:pos="567"/>
          <w:tab w:val="left" w:pos="1134"/>
        </w:tabs>
        <w:spacing w:after="0"/>
        <w:rPr>
          <w:rFonts w:cs="Arial"/>
        </w:rPr>
      </w:pPr>
      <w:r w:rsidRPr="00AE6F94">
        <w:rPr>
          <w:rFonts w:cs="Arial"/>
        </w:rPr>
        <w:t xml:space="preserve">All services have reviewed the demand pressures they face in future years and increasing demand still remains a significant element of the funding gap. </w:t>
      </w:r>
    </w:p>
    <w:p w:rsidR="006D0EDA" w:rsidRPr="00E95F45" w:rsidP="006D0EDA">
      <w:pPr>
        <w:tabs>
          <w:tab w:val="left" w:pos="567"/>
          <w:tab w:val="left" w:pos="1134"/>
        </w:tabs>
        <w:spacing w:after="0"/>
        <w:rPr>
          <w:rFonts w:cs="Arial"/>
          <w:highlight w:val="yellow"/>
        </w:rPr>
      </w:pPr>
    </w:p>
    <w:p w:rsidR="006D0EDA" w:rsidRPr="00AE6F94" w:rsidP="006D0EDA">
      <w:pPr>
        <w:tabs>
          <w:tab w:val="left" w:pos="567"/>
          <w:tab w:val="left" w:pos="1134"/>
        </w:tabs>
        <w:spacing w:after="0"/>
        <w:rPr>
          <w:rFonts w:cs="Arial"/>
          <w:b/>
          <w:i/>
          <w:u w:val="single"/>
        </w:rPr>
      </w:pPr>
      <w:r w:rsidRPr="00AE6F94">
        <w:rPr>
          <w:rFonts w:cs="Arial"/>
          <w:b/>
          <w:i/>
          <w:u w:val="single"/>
        </w:rPr>
        <w:t>Table 6</w:t>
      </w:r>
    </w:p>
    <w:p w:rsidR="006D0EDA" w:rsidRPr="00E95F45" w:rsidP="006D0EDA">
      <w:pPr>
        <w:tabs>
          <w:tab w:val="left" w:pos="567"/>
          <w:tab w:val="left" w:pos="1134"/>
        </w:tabs>
        <w:spacing w:after="0"/>
        <w:rPr>
          <w:rFonts w:cs="Arial"/>
          <w:highlight w:val="yellow"/>
        </w:rPr>
      </w:pPr>
    </w:p>
    <w:tbl>
      <w:tblPr>
        <w:tblW w:w="9012" w:type="dxa"/>
        <w:tblInd w:w="-10" w:type="dxa"/>
        <w:tblLook w:val="04A0"/>
      </w:tblPr>
      <w:tblGrid>
        <w:gridCol w:w="4288"/>
        <w:gridCol w:w="1181"/>
        <w:gridCol w:w="1181"/>
        <w:gridCol w:w="1181"/>
        <w:gridCol w:w="1181"/>
      </w:tblGrid>
      <w:tr w:rsidTr="006D0EDA">
        <w:tblPrEx>
          <w:tblW w:w="9012" w:type="dxa"/>
          <w:tblInd w:w="-10" w:type="dxa"/>
          <w:tblLook w:val="04A0"/>
        </w:tblPrEx>
        <w:trPr>
          <w:trHeight w:val="271"/>
        </w:trPr>
        <w:tc>
          <w:tcPr>
            <w:tcW w:w="4288"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6D0EDA" w:rsidRPr="00D36C8A" w:rsidP="006D0EDA">
            <w:pPr>
              <w:autoSpaceDE/>
              <w:autoSpaceDN/>
              <w:adjustRightInd/>
              <w:spacing w:after="0"/>
              <w:rPr>
                <w:rFonts w:eastAsia="Times New Roman" w:cs="Arial"/>
                <w:lang w:eastAsia="en-GB"/>
              </w:rPr>
            </w:pPr>
            <w:r w:rsidRPr="00D36C8A">
              <w:rPr>
                <w:rFonts w:eastAsia="Times New Roman" w:cs="Arial"/>
                <w:lang w:eastAsia="en-GB"/>
              </w:rPr>
              <w:t> </w:t>
            </w:r>
          </w:p>
        </w:tc>
        <w:tc>
          <w:tcPr>
            <w:tcW w:w="1181" w:type="dxa"/>
            <w:tcBorders>
              <w:top w:val="single" w:sz="8" w:space="0" w:color="auto"/>
              <w:left w:val="nil"/>
              <w:bottom w:val="nil"/>
              <w:right w:val="single" w:sz="8" w:space="0" w:color="auto"/>
            </w:tcBorders>
            <w:shd w:val="clear" w:color="000000" w:fill="BFBFBF"/>
            <w:noWrap/>
            <w:vAlign w:val="center"/>
            <w:hideMark/>
          </w:tcPr>
          <w:p w:rsidR="006D0EDA" w:rsidRPr="00D36C8A" w:rsidP="006D0EDA">
            <w:pPr>
              <w:autoSpaceDE/>
              <w:autoSpaceDN/>
              <w:adjustRightInd/>
              <w:spacing w:after="0"/>
              <w:jc w:val="center"/>
              <w:rPr>
                <w:rFonts w:eastAsia="Times New Roman" w:cs="Arial"/>
                <w:b/>
                <w:bCs/>
                <w:lang w:eastAsia="en-GB"/>
              </w:rPr>
            </w:pPr>
            <w:r w:rsidRPr="00D36C8A">
              <w:rPr>
                <w:rFonts w:eastAsia="Times New Roman" w:cs="Arial"/>
                <w:b/>
                <w:bCs/>
                <w:lang w:eastAsia="en-GB"/>
              </w:rPr>
              <w:t>2021/22</w:t>
            </w:r>
          </w:p>
        </w:tc>
        <w:tc>
          <w:tcPr>
            <w:tcW w:w="1181" w:type="dxa"/>
            <w:tcBorders>
              <w:top w:val="single" w:sz="8" w:space="0" w:color="auto"/>
              <w:left w:val="nil"/>
              <w:bottom w:val="nil"/>
              <w:right w:val="single" w:sz="8" w:space="0" w:color="auto"/>
            </w:tcBorders>
            <w:shd w:val="clear" w:color="000000" w:fill="BFBFBF"/>
            <w:noWrap/>
            <w:vAlign w:val="center"/>
            <w:hideMark/>
          </w:tcPr>
          <w:p w:rsidR="006D0EDA" w:rsidRPr="00D36C8A" w:rsidP="006D0EDA">
            <w:pPr>
              <w:autoSpaceDE/>
              <w:autoSpaceDN/>
              <w:adjustRightInd/>
              <w:spacing w:after="0"/>
              <w:jc w:val="center"/>
              <w:rPr>
                <w:rFonts w:eastAsia="Times New Roman" w:cs="Arial"/>
                <w:b/>
                <w:bCs/>
                <w:lang w:eastAsia="en-GB"/>
              </w:rPr>
            </w:pPr>
            <w:r w:rsidRPr="00D36C8A">
              <w:rPr>
                <w:rFonts w:eastAsia="Times New Roman" w:cs="Arial"/>
                <w:b/>
                <w:bCs/>
                <w:lang w:eastAsia="en-GB"/>
              </w:rPr>
              <w:t>2022/23</w:t>
            </w:r>
          </w:p>
        </w:tc>
        <w:tc>
          <w:tcPr>
            <w:tcW w:w="1181" w:type="dxa"/>
            <w:tcBorders>
              <w:top w:val="single" w:sz="8" w:space="0" w:color="auto"/>
              <w:left w:val="nil"/>
              <w:bottom w:val="nil"/>
              <w:right w:val="single" w:sz="8" w:space="0" w:color="auto"/>
            </w:tcBorders>
            <w:shd w:val="clear" w:color="000000" w:fill="BFBFBF"/>
            <w:noWrap/>
            <w:vAlign w:val="center"/>
            <w:hideMark/>
          </w:tcPr>
          <w:p w:rsidR="006D0EDA" w:rsidRPr="00D36C8A" w:rsidP="006D0EDA">
            <w:pPr>
              <w:autoSpaceDE/>
              <w:autoSpaceDN/>
              <w:adjustRightInd/>
              <w:spacing w:after="0"/>
              <w:jc w:val="center"/>
              <w:rPr>
                <w:rFonts w:eastAsia="Times New Roman" w:cs="Arial"/>
                <w:b/>
                <w:bCs/>
                <w:lang w:eastAsia="en-GB"/>
              </w:rPr>
            </w:pPr>
            <w:r w:rsidRPr="00D36C8A">
              <w:rPr>
                <w:rFonts w:eastAsia="Times New Roman" w:cs="Arial"/>
                <w:b/>
                <w:bCs/>
                <w:lang w:eastAsia="en-GB"/>
              </w:rPr>
              <w:t>2023/24</w:t>
            </w:r>
          </w:p>
        </w:tc>
        <w:tc>
          <w:tcPr>
            <w:tcW w:w="1181" w:type="dxa"/>
            <w:tcBorders>
              <w:top w:val="single" w:sz="8" w:space="0" w:color="auto"/>
              <w:left w:val="nil"/>
              <w:bottom w:val="nil"/>
              <w:right w:val="single" w:sz="8" w:space="0" w:color="auto"/>
            </w:tcBorders>
            <w:shd w:val="clear" w:color="000000" w:fill="BFBFBF"/>
            <w:noWrap/>
            <w:vAlign w:val="center"/>
            <w:hideMark/>
          </w:tcPr>
          <w:p w:rsidR="006D0EDA" w:rsidRPr="00D36C8A" w:rsidP="006D0EDA">
            <w:pPr>
              <w:autoSpaceDE/>
              <w:autoSpaceDN/>
              <w:adjustRightInd/>
              <w:spacing w:after="0"/>
              <w:jc w:val="center"/>
              <w:rPr>
                <w:rFonts w:eastAsia="Times New Roman" w:cs="Arial"/>
                <w:b/>
                <w:bCs/>
                <w:lang w:eastAsia="en-GB"/>
              </w:rPr>
            </w:pPr>
            <w:r w:rsidRPr="00D36C8A">
              <w:rPr>
                <w:rFonts w:eastAsia="Times New Roman" w:cs="Arial"/>
                <w:b/>
                <w:bCs/>
                <w:lang w:eastAsia="en-GB"/>
              </w:rPr>
              <w:t>Total</w:t>
            </w:r>
          </w:p>
        </w:tc>
      </w:tr>
      <w:tr w:rsidTr="006D0EDA">
        <w:tblPrEx>
          <w:tblW w:w="9012" w:type="dxa"/>
          <w:tblInd w:w="-10" w:type="dxa"/>
          <w:tblLook w:val="04A0"/>
        </w:tblPrEx>
        <w:trPr>
          <w:trHeight w:val="280"/>
        </w:trPr>
        <w:tc>
          <w:tcPr>
            <w:tcW w:w="4288" w:type="dxa"/>
            <w:vMerge/>
            <w:tcBorders>
              <w:top w:val="single" w:sz="8" w:space="0" w:color="auto"/>
              <w:left w:val="single" w:sz="8" w:space="0" w:color="auto"/>
              <w:bottom w:val="single" w:sz="8" w:space="0" w:color="000000"/>
              <w:right w:val="single" w:sz="8" w:space="0" w:color="auto"/>
            </w:tcBorders>
            <w:vAlign w:val="center"/>
            <w:hideMark/>
          </w:tcPr>
          <w:p w:rsidR="006D0EDA" w:rsidRPr="00D36C8A" w:rsidP="006D0EDA">
            <w:pPr>
              <w:autoSpaceDE/>
              <w:autoSpaceDN/>
              <w:adjustRightInd/>
              <w:spacing w:after="0"/>
              <w:jc w:val="left"/>
              <w:rPr>
                <w:rFonts w:eastAsia="Times New Roman" w:cs="Arial"/>
                <w:lang w:eastAsia="en-GB"/>
              </w:rPr>
            </w:pPr>
          </w:p>
        </w:tc>
        <w:tc>
          <w:tcPr>
            <w:tcW w:w="1181" w:type="dxa"/>
            <w:tcBorders>
              <w:top w:val="nil"/>
              <w:left w:val="nil"/>
              <w:bottom w:val="single" w:sz="8" w:space="0" w:color="auto"/>
              <w:right w:val="single" w:sz="8" w:space="0" w:color="auto"/>
            </w:tcBorders>
            <w:shd w:val="clear" w:color="000000" w:fill="BFBFBF"/>
            <w:noWrap/>
            <w:vAlign w:val="center"/>
            <w:hideMark/>
          </w:tcPr>
          <w:p w:rsidR="006D0EDA" w:rsidRPr="00D36C8A" w:rsidP="006D0EDA">
            <w:pPr>
              <w:autoSpaceDE/>
              <w:autoSpaceDN/>
              <w:adjustRightInd/>
              <w:spacing w:after="0"/>
              <w:jc w:val="center"/>
              <w:rPr>
                <w:rFonts w:eastAsia="Times New Roman" w:cs="Arial"/>
                <w:b/>
                <w:bCs/>
                <w:lang w:eastAsia="en-GB"/>
              </w:rPr>
            </w:pPr>
            <w:r w:rsidRPr="00D36C8A">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6D0EDA" w:rsidRPr="00D36C8A" w:rsidP="006D0EDA">
            <w:pPr>
              <w:autoSpaceDE/>
              <w:autoSpaceDN/>
              <w:adjustRightInd/>
              <w:spacing w:after="0"/>
              <w:jc w:val="center"/>
              <w:rPr>
                <w:rFonts w:eastAsia="Times New Roman" w:cs="Arial"/>
                <w:b/>
                <w:bCs/>
                <w:lang w:eastAsia="en-GB"/>
              </w:rPr>
            </w:pPr>
            <w:r w:rsidRPr="00D36C8A">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6D0EDA" w:rsidRPr="00D36C8A" w:rsidP="006D0EDA">
            <w:pPr>
              <w:autoSpaceDE/>
              <w:autoSpaceDN/>
              <w:adjustRightInd/>
              <w:spacing w:after="0"/>
              <w:jc w:val="center"/>
              <w:rPr>
                <w:rFonts w:eastAsia="Times New Roman" w:cs="Arial"/>
                <w:b/>
                <w:bCs/>
                <w:lang w:eastAsia="en-GB"/>
              </w:rPr>
            </w:pPr>
            <w:r w:rsidRPr="00D36C8A">
              <w:rPr>
                <w:rFonts w:eastAsia="Times New Roman" w:cs="Arial"/>
                <w:b/>
                <w:bCs/>
                <w:lang w:eastAsia="en-GB"/>
              </w:rPr>
              <w:t>£m</w:t>
            </w:r>
          </w:p>
        </w:tc>
        <w:tc>
          <w:tcPr>
            <w:tcW w:w="1181" w:type="dxa"/>
            <w:tcBorders>
              <w:top w:val="nil"/>
              <w:left w:val="nil"/>
              <w:bottom w:val="single" w:sz="8" w:space="0" w:color="auto"/>
              <w:right w:val="single" w:sz="8" w:space="0" w:color="auto"/>
            </w:tcBorders>
            <w:shd w:val="clear" w:color="000000" w:fill="BFBFBF"/>
            <w:noWrap/>
            <w:vAlign w:val="center"/>
            <w:hideMark/>
          </w:tcPr>
          <w:p w:rsidR="006D0EDA" w:rsidRPr="00D36C8A" w:rsidP="006D0EDA">
            <w:pPr>
              <w:autoSpaceDE/>
              <w:autoSpaceDN/>
              <w:adjustRightInd/>
              <w:spacing w:after="0"/>
              <w:jc w:val="center"/>
              <w:rPr>
                <w:rFonts w:eastAsia="Times New Roman" w:cs="Arial"/>
                <w:b/>
                <w:bCs/>
                <w:lang w:eastAsia="en-GB"/>
              </w:rPr>
            </w:pPr>
            <w:r w:rsidRPr="00D36C8A">
              <w:rPr>
                <w:rFonts w:eastAsia="Times New Roman" w:cs="Arial"/>
                <w:b/>
                <w:bCs/>
                <w:lang w:eastAsia="en-GB"/>
              </w:rPr>
              <w:t>£m</w:t>
            </w: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rPr>
                <w:rFonts w:eastAsia="Times New Roman" w:cs="Arial"/>
                <w:lang w:eastAsia="en-GB"/>
              </w:rPr>
            </w:pPr>
            <w:r w:rsidRPr="00D36C8A">
              <w:rPr>
                <w:rFonts w:eastAsia="Times New Roman" w:cs="Arial"/>
                <w:lang w:eastAsia="en-GB"/>
              </w:rPr>
              <w:t>Adults Services</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10.014</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9.079</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9.540</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28.633</w:t>
            </w: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rPr>
                <w:rFonts w:eastAsia="Times New Roman" w:cs="Arial"/>
                <w:lang w:eastAsia="en-GB"/>
              </w:rPr>
            </w:pPr>
            <w:r w:rsidRPr="00D36C8A">
              <w:rPr>
                <w:rFonts w:eastAsia="Times New Roman" w:cs="Arial"/>
                <w:lang w:eastAsia="en-GB"/>
              </w:rPr>
              <w:t>Children's Services</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4.342</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3.777</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4.494</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12.613</w:t>
            </w: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rPr>
                <w:rFonts w:eastAsia="Times New Roman" w:cs="Arial"/>
                <w:lang w:eastAsia="en-GB"/>
              </w:rPr>
            </w:pPr>
            <w:r w:rsidRPr="00D36C8A">
              <w:rPr>
                <w:rFonts w:eastAsia="Times New Roman" w:cs="Arial"/>
                <w:lang w:eastAsia="en-GB"/>
              </w:rPr>
              <w:t>Waste Services</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0.734</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0.202</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0.212</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1.148</w:t>
            </w: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rPr>
                <w:rFonts w:eastAsia="Times New Roman" w:cs="Arial"/>
                <w:lang w:eastAsia="en-GB"/>
              </w:rPr>
            </w:pPr>
            <w:r w:rsidRPr="00D36C8A">
              <w:rPr>
                <w:rFonts w:eastAsia="Times New Roman" w:cs="Arial"/>
                <w:lang w:eastAsia="en-GB"/>
              </w:rPr>
              <w:t>Transport Services</w:t>
            </w:r>
          </w:p>
        </w:tc>
        <w:tc>
          <w:tcPr>
            <w:tcW w:w="1181" w:type="dxa"/>
            <w:tcBorders>
              <w:top w:val="nil"/>
              <w:left w:val="nil"/>
              <w:bottom w:val="nil"/>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0.907</w:t>
            </w:r>
          </w:p>
        </w:tc>
        <w:tc>
          <w:tcPr>
            <w:tcW w:w="1181" w:type="dxa"/>
            <w:tcBorders>
              <w:top w:val="nil"/>
              <w:left w:val="nil"/>
              <w:bottom w:val="nil"/>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0.606</w:t>
            </w:r>
          </w:p>
        </w:tc>
        <w:tc>
          <w:tcPr>
            <w:tcW w:w="1181" w:type="dxa"/>
            <w:tcBorders>
              <w:top w:val="nil"/>
              <w:left w:val="nil"/>
              <w:bottom w:val="nil"/>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0.690</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2.203</w:t>
            </w: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rPr>
                <w:rFonts w:eastAsia="Times New Roman" w:cs="Arial"/>
                <w:lang w:eastAsia="en-GB"/>
              </w:rPr>
            </w:pPr>
            <w:r w:rsidRPr="00D36C8A">
              <w:rPr>
                <w:rFonts w:eastAsia="Times New Roman" w:cs="Arial"/>
                <w:lang w:eastAsia="en-GB"/>
              </w:rPr>
              <w:t>Other Services</w:t>
            </w:r>
          </w:p>
        </w:tc>
        <w:tc>
          <w:tcPr>
            <w:tcW w:w="1181" w:type="dxa"/>
            <w:tcBorders>
              <w:top w:val="single" w:sz="8" w:space="0" w:color="auto"/>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1.135</w:t>
            </w:r>
          </w:p>
        </w:tc>
        <w:tc>
          <w:tcPr>
            <w:tcW w:w="1181" w:type="dxa"/>
            <w:tcBorders>
              <w:top w:val="single" w:sz="8" w:space="0" w:color="auto"/>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0.505</w:t>
            </w:r>
          </w:p>
        </w:tc>
        <w:tc>
          <w:tcPr>
            <w:tcW w:w="1181" w:type="dxa"/>
            <w:tcBorders>
              <w:top w:val="single" w:sz="8" w:space="0" w:color="auto"/>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lang w:eastAsia="en-GB"/>
              </w:rPr>
            </w:pPr>
            <w:r>
              <w:rPr>
                <w:rFonts w:eastAsia="Times New Roman" w:cs="Arial"/>
                <w:lang w:eastAsia="en-GB"/>
              </w:rPr>
              <w:t>0.112</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1.752</w:t>
            </w: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jc w:val="left"/>
              <w:rPr>
                <w:rFonts w:eastAsia="Times New Roman" w:cs="Arial"/>
                <w:b/>
                <w:bCs/>
                <w:lang w:eastAsia="en-GB"/>
              </w:rPr>
            </w:pPr>
            <w:r w:rsidRPr="00D36C8A">
              <w:rPr>
                <w:rFonts w:eastAsia="Times New Roman" w:cs="Arial"/>
                <w:b/>
                <w:bCs/>
                <w:lang w:eastAsia="en-GB"/>
              </w:rPr>
              <w:t>Revised Demand Requirements</w:t>
            </w:r>
          </w:p>
        </w:tc>
        <w:tc>
          <w:tcPr>
            <w:tcW w:w="1181" w:type="dxa"/>
            <w:tcBorders>
              <w:top w:val="nil"/>
              <w:left w:val="nil"/>
              <w:bottom w:val="nil"/>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17.132</w:t>
            </w:r>
          </w:p>
        </w:tc>
        <w:tc>
          <w:tcPr>
            <w:tcW w:w="1181" w:type="dxa"/>
            <w:tcBorders>
              <w:top w:val="nil"/>
              <w:left w:val="nil"/>
              <w:bottom w:val="nil"/>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14.169</w:t>
            </w:r>
          </w:p>
        </w:tc>
        <w:tc>
          <w:tcPr>
            <w:tcW w:w="1181" w:type="dxa"/>
            <w:tcBorders>
              <w:top w:val="nil"/>
              <w:left w:val="nil"/>
              <w:bottom w:val="nil"/>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15.048</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46.349</w:t>
            </w:r>
          </w:p>
        </w:tc>
      </w:tr>
      <w:tr w:rsidTr="006D0ED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rPr>
                <w:rFonts w:eastAsia="Times New Roman" w:cs="Arial"/>
                <w:lang w:eastAsia="en-GB"/>
              </w:rPr>
            </w:pPr>
            <w:r w:rsidRPr="00D36C8A">
              <w:rPr>
                <w:rFonts w:eastAsia="Times New Roman" w:cs="Arial"/>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jc w:val="right"/>
              <w:rPr>
                <w:rFonts w:eastAsia="Times New Roman" w:cs="Arial"/>
                <w:lang w:eastAsia="en-GB"/>
              </w:rPr>
            </w:pPr>
            <w:r w:rsidRPr="00D36C8A">
              <w:rPr>
                <w:rFonts w:eastAsia="Times New Roman" w:cs="Arial"/>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jc w:val="right"/>
              <w:rPr>
                <w:rFonts w:eastAsia="Times New Roman" w:cs="Arial"/>
                <w:b/>
                <w:bCs/>
                <w:lang w:eastAsia="en-GB"/>
              </w:rPr>
            </w:pPr>
            <w:r w:rsidRPr="00D36C8A">
              <w:rPr>
                <w:rFonts w:eastAsia="Times New Roman" w:cs="Arial"/>
                <w:b/>
                <w:bCs/>
                <w:lang w:eastAsia="en-GB"/>
              </w:rPr>
              <w:t> </w:t>
            </w:r>
          </w:p>
        </w:tc>
        <w:tc>
          <w:tcPr>
            <w:tcW w:w="1181" w:type="dxa"/>
            <w:tcBorders>
              <w:top w:val="single" w:sz="8" w:space="0" w:color="auto"/>
              <w:left w:val="nil"/>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jc w:val="right"/>
              <w:rPr>
                <w:rFonts w:eastAsia="Times New Roman" w:cs="Arial"/>
                <w:b/>
                <w:bCs/>
                <w:lang w:eastAsia="en-GB"/>
              </w:rPr>
            </w:pPr>
            <w:r w:rsidRPr="00D36C8A">
              <w:rPr>
                <w:rFonts w:eastAsia="Times New Roman" w:cs="Arial"/>
                <w:b/>
                <w:bCs/>
                <w:lang w:eastAsia="en-GB"/>
              </w:rPr>
              <w:t> </w:t>
            </w:r>
          </w:p>
        </w:tc>
        <w:tc>
          <w:tcPr>
            <w:tcW w:w="1181" w:type="dxa"/>
            <w:tcBorders>
              <w:top w:val="nil"/>
              <w:left w:val="nil"/>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jc w:val="left"/>
              <w:rPr>
                <w:rFonts w:eastAsia="Times New Roman" w:cs="Arial"/>
                <w:sz w:val="20"/>
                <w:szCs w:val="20"/>
                <w:lang w:eastAsia="en-GB"/>
              </w:rPr>
            </w:pPr>
            <w:r w:rsidRPr="00D36C8A">
              <w:rPr>
                <w:rFonts w:eastAsia="Times New Roman" w:cs="Arial"/>
                <w:sz w:val="20"/>
                <w:szCs w:val="20"/>
                <w:lang w:eastAsia="en-GB"/>
              </w:rPr>
              <w:t> </w:t>
            </w: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D36C8A" w:rsidRPr="00D36C8A" w:rsidP="00D36C8A">
            <w:pPr>
              <w:autoSpaceDE/>
              <w:autoSpaceDN/>
              <w:adjustRightInd/>
              <w:spacing w:after="0"/>
              <w:rPr>
                <w:rFonts w:eastAsia="Times New Roman" w:cs="Arial"/>
                <w:b/>
                <w:bCs/>
                <w:lang w:eastAsia="en-GB"/>
              </w:rPr>
            </w:pPr>
            <w:r w:rsidRPr="00D36C8A">
              <w:rPr>
                <w:rFonts w:eastAsia="Times New Roman" w:cs="Arial"/>
                <w:b/>
                <w:bCs/>
                <w:lang w:eastAsia="en-GB"/>
              </w:rPr>
              <w:t>Demand – previous MTFS</w:t>
            </w:r>
          </w:p>
        </w:tc>
        <w:tc>
          <w:tcPr>
            <w:tcW w:w="1181" w:type="dxa"/>
            <w:tcBorders>
              <w:top w:val="nil"/>
              <w:left w:val="nil"/>
              <w:bottom w:val="single" w:sz="4" w:space="0" w:color="auto"/>
              <w:right w:val="single" w:sz="8" w:space="0" w:color="auto"/>
            </w:tcBorders>
            <w:shd w:val="clear" w:color="auto" w:fill="auto"/>
            <w:noWrap/>
            <w:vAlign w:val="center"/>
            <w:hideMark/>
          </w:tcPr>
          <w:p w:rsidR="00D36C8A" w:rsidRPr="00D36C8A" w:rsidP="00D36C8A">
            <w:pPr>
              <w:autoSpaceDE/>
              <w:autoSpaceDN/>
              <w:adjustRightInd/>
              <w:spacing w:after="0"/>
              <w:jc w:val="right"/>
              <w:rPr>
                <w:rFonts w:eastAsia="Times New Roman" w:cs="Arial"/>
                <w:b/>
                <w:bCs/>
                <w:lang w:eastAsia="en-GB"/>
              </w:rPr>
            </w:pPr>
            <w:r w:rsidRPr="00D36C8A">
              <w:rPr>
                <w:rFonts w:eastAsia="Times New Roman" w:cs="Arial"/>
                <w:b/>
                <w:bCs/>
                <w:lang w:eastAsia="en-GB"/>
              </w:rPr>
              <w:t>16.700</w:t>
            </w:r>
          </w:p>
        </w:tc>
        <w:tc>
          <w:tcPr>
            <w:tcW w:w="1181" w:type="dxa"/>
            <w:tcBorders>
              <w:top w:val="nil"/>
              <w:left w:val="nil"/>
              <w:bottom w:val="single" w:sz="4" w:space="0" w:color="auto"/>
              <w:right w:val="single" w:sz="8" w:space="0" w:color="auto"/>
            </w:tcBorders>
            <w:shd w:val="clear" w:color="auto" w:fill="auto"/>
            <w:noWrap/>
            <w:vAlign w:val="center"/>
            <w:hideMark/>
          </w:tcPr>
          <w:p w:rsidR="00D36C8A" w:rsidRPr="00D36C8A" w:rsidP="00D36C8A">
            <w:pPr>
              <w:autoSpaceDE/>
              <w:autoSpaceDN/>
              <w:adjustRightInd/>
              <w:spacing w:after="0"/>
              <w:jc w:val="right"/>
              <w:rPr>
                <w:rFonts w:eastAsia="Times New Roman" w:cs="Arial"/>
                <w:b/>
                <w:bCs/>
                <w:lang w:eastAsia="en-GB"/>
              </w:rPr>
            </w:pPr>
            <w:r>
              <w:rPr>
                <w:rFonts w:eastAsia="Times New Roman" w:cs="Arial"/>
                <w:b/>
                <w:bCs/>
                <w:lang w:eastAsia="en-GB"/>
              </w:rPr>
              <w:t>13.655</w:t>
            </w:r>
          </w:p>
        </w:tc>
        <w:tc>
          <w:tcPr>
            <w:tcW w:w="1181" w:type="dxa"/>
            <w:tcBorders>
              <w:top w:val="nil"/>
              <w:left w:val="nil"/>
              <w:bottom w:val="single" w:sz="4" w:space="0" w:color="auto"/>
              <w:right w:val="single" w:sz="8" w:space="0" w:color="auto"/>
            </w:tcBorders>
            <w:shd w:val="clear" w:color="auto" w:fill="auto"/>
            <w:noWrap/>
            <w:vAlign w:val="center"/>
            <w:hideMark/>
          </w:tcPr>
          <w:p w:rsidR="00D36C8A" w:rsidRPr="00D36C8A" w:rsidP="00D36C8A">
            <w:pPr>
              <w:autoSpaceDE/>
              <w:autoSpaceDN/>
              <w:adjustRightInd/>
              <w:spacing w:after="0"/>
              <w:jc w:val="right"/>
              <w:rPr>
                <w:rFonts w:eastAsia="Times New Roman" w:cs="Arial"/>
                <w:b/>
                <w:bCs/>
                <w:lang w:eastAsia="en-GB"/>
              </w:rPr>
            </w:pPr>
            <w:r w:rsidRPr="00D36C8A">
              <w:rPr>
                <w:rFonts w:eastAsia="Times New Roman" w:cs="Arial"/>
                <w:b/>
                <w:bCs/>
                <w:lang w:eastAsia="en-GB"/>
              </w:rPr>
              <w:t>14.413</w:t>
            </w:r>
          </w:p>
        </w:tc>
        <w:tc>
          <w:tcPr>
            <w:tcW w:w="1181" w:type="dxa"/>
            <w:tcBorders>
              <w:top w:val="nil"/>
              <w:left w:val="nil"/>
              <w:bottom w:val="single" w:sz="8" w:space="0" w:color="auto"/>
              <w:right w:val="single" w:sz="8" w:space="0" w:color="auto"/>
            </w:tcBorders>
            <w:shd w:val="clear" w:color="auto" w:fill="auto"/>
            <w:noWrap/>
            <w:vAlign w:val="center"/>
            <w:hideMark/>
          </w:tcPr>
          <w:p w:rsidR="00D36C8A" w:rsidRPr="00D36C8A" w:rsidP="00716E6A">
            <w:pPr>
              <w:autoSpaceDE/>
              <w:autoSpaceDN/>
              <w:adjustRightInd/>
              <w:spacing w:after="0"/>
              <w:jc w:val="right"/>
              <w:rPr>
                <w:rFonts w:eastAsia="Times New Roman" w:cs="Arial"/>
                <w:b/>
                <w:bCs/>
                <w:lang w:eastAsia="en-GB"/>
              </w:rPr>
            </w:pPr>
            <w:r w:rsidRPr="00D36C8A">
              <w:rPr>
                <w:rFonts w:eastAsia="Times New Roman" w:cs="Arial"/>
                <w:b/>
                <w:bCs/>
                <w:lang w:eastAsia="en-GB"/>
              </w:rPr>
              <w:t>44.76</w:t>
            </w:r>
            <w:r w:rsidR="00716E6A">
              <w:rPr>
                <w:rFonts w:eastAsia="Times New Roman" w:cs="Arial"/>
                <w:b/>
                <w:bCs/>
                <w:lang w:eastAsia="en-GB"/>
              </w:rPr>
              <w:t>8</w:t>
            </w: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tcPr>
          <w:p w:rsidR="00D36C8A" w:rsidRPr="00D36C8A" w:rsidP="006D0EDA">
            <w:pPr>
              <w:autoSpaceDE/>
              <w:autoSpaceDN/>
              <w:adjustRightInd/>
              <w:spacing w:after="0"/>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rsidR="00D36C8A" w:rsidRPr="00D36C8A" w:rsidP="006D0EDA">
            <w:pPr>
              <w:autoSpaceDE/>
              <w:autoSpaceDN/>
              <w:adjustRightInd/>
              <w:spacing w:after="0"/>
              <w:jc w:val="right"/>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rsidR="00D36C8A" w:rsidRPr="00D36C8A" w:rsidP="006D0EDA">
            <w:pPr>
              <w:autoSpaceDE/>
              <w:autoSpaceDN/>
              <w:adjustRightInd/>
              <w:spacing w:after="0"/>
              <w:jc w:val="right"/>
              <w:rPr>
                <w:rFonts w:eastAsia="Times New Roman" w:cs="Arial"/>
                <w:b/>
                <w:bCs/>
                <w:lang w:eastAsia="en-GB"/>
              </w:rPr>
            </w:pPr>
          </w:p>
        </w:tc>
        <w:tc>
          <w:tcPr>
            <w:tcW w:w="1181" w:type="dxa"/>
            <w:tcBorders>
              <w:top w:val="single" w:sz="4" w:space="0" w:color="auto"/>
              <w:left w:val="nil"/>
              <w:bottom w:val="single" w:sz="8" w:space="0" w:color="auto"/>
              <w:right w:val="single" w:sz="8" w:space="0" w:color="auto"/>
            </w:tcBorders>
            <w:shd w:val="clear" w:color="auto" w:fill="auto"/>
            <w:noWrap/>
            <w:vAlign w:val="center"/>
          </w:tcPr>
          <w:p w:rsidR="00D36C8A" w:rsidRPr="00D36C8A" w:rsidP="006D0EDA">
            <w:pPr>
              <w:autoSpaceDE/>
              <w:autoSpaceDN/>
              <w:adjustRightInd/>
              <w:spacing w:after="0"/>
              <w:jc w:val="right"/>
              <w:rPr>
                <w:rFonts w:eastAsia="Times New Roman" w:cs="Arial"/>
                <w:b/>
                <w:bCs/>
                <w:lang w:eastAsia="en-GB"/>
              </w:rPr>
            </w:pPr>
          </w:p>
        </w:tc>
        <w:tc>
          <w:tcPr>
            <w:tcW w:w="1181" w:type="dxa"/>
            <w:tcBorders>
              <w:top w:val="nil"/>
              <w:left w:val="nil"/>
              <w:bottom w:val="single" w:sz="8" w:space="0" w:color="auto"/>
              <w:right w:val="single" w:sz="8" w:space="0" w:color="auto"/>
            </w:tcBorders>
            <w:shd w:val="clear" w:color="auto" w:fill="auto"/>
            <w:noWrap/>
            <w:vAlign w:val="center"/>
          </w:tcPr>
          <w:p w:rsidR="00D36C8A" w:rsidRPr="00D36C8A" w:rsidP="006D0EDA">
            <w:pPr>
              <w:autoSpaceDE/>
              <w:autoSpaceDN/>
              <w:adjustRightInd/>
              <w:spacing w:after="0"/>
              <w:jc w:val="right"/>
              <w:rPr>
                <w:rFonts w:eastAsia="Times New Roman" w:cs="Arial"/>
                <w:b/>
                <w:bCs/>
                <w:lang w:eastAsia="en-GB"/>
              </w:rPr>
            </w:pPr>
          </w:p>
        </w:tc>
      </w:tr>
      <w:tr w:rsidTr="00D36C8A">
        <w:tblPrEx>
          <w:tblW w:w="9012" w:type="dxa"/>
          <w:tblInd w:w="-10" w:type="dxa"/>
          <w:tblLook w:val="04A0"/>
        </w:tblPrEx>
        <w:trPr>
          <w:trHeight w:val="280"/>
        </w:trPr>
        <w:tc>
          <w:tcPr>
            <w:tcW w:w="4288" w:type="dxa"/>
            <w:tcBorders>
              <w:top w:val="nil"/>
              <w:left w:val="single" w:sz="8" w:space="0" w:color="auto"/>
              <w:bottom w:val="single" w:sz="8" w:space="0" w:color="auto"/>
              <w:right w:val="single" w:sz="8" w:space="0" w:color="auto"/>
            </w:tcBorders>
            <w:shd w:val="clear" w:color="auto" w:fill="auto"/>
            <w:noWrap/>
            <w:vAlign w:val="center"/>
            <w:hideMark/>
          </w:tcPr>
          <w:p w:rsidR="006D0EDA" w:rsidRPr="00D36C8A" w:rsidP="006D0EDA">
            <w:pPr>
              <w:autoSpaceDE/>
              <w:autoSpaceDN/>
              <w:adjustRightInd/>
              <w:spacing w:after="0"/>
              <w:rPr>
                <w:rFonts w:eastAsia="Times New Roman" w:cs="Arial"/>
                <w:b/>
                <w:bCs/>
                <w:lang w:eastAsia="en-GB"/>
              </w:rPr>
            </w:pPr>
            <w:r w:rsidRPr="00D36C8A">
              <w:rPr>
                <w:rFonts w:eastAsia="Times New Roman" w:cs="Arial"/>
                <w:b/>
                <w:bCs/>
                <w:lang w:eastAsia="en-GB"/>
              </w:rPr>
              <w:t>Variance</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0.432</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0.514</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6D0EDA">
            <w:pPr>
              <w:autoSpaceDE/>
              <w:autoSpaceDN/>
              <w:adjustRightInd/>
              <w:spacing w:after="0"/>
              <w:jc w:val="right"/>
              <w:rPr>
                <w:rFonts w:eastAsia="Times New Roman" w:cs="Arial"/>
                <w:b/>
                <w:bCs/>
                <w:lang w:eastAsia="en-GB"/>
              </w:rPr>
            </w:pPr>
            <w:r>
              <w:rPr>
                <w:rFonts w:eastAsia="Times New Roman" w:cs="Arial"/>
                <w:b/>
                <w:bCs/>
                <w:lang w:eastAsia="en-GB"/>
              </w:rPr>
              <w:t>0.635</w:t>
            </w:r>
          </w:p>
        </w:tc>
        <w:tc>
          <w:tcPr>
            <w:tcW w:w="1181" w:type="dxa"/>
            <w:tcBorders>
              <w:top w:val="nil"/>
              <w:left w:val="nil"/>
              <w:bottom w:val="single" w:sz="8" w:space="0" w:color="auto"/>
              <w:right w:val="single" w:sz="8" w:space="0" w:color="auto"/>
            </w:tcBorders>
            <w:shd w:val="clear" w:color="auto" w:fill="auto"/>
            <w:noWrap/>
            <w:vAlign w:val="center"/>
          </w:tcPr>
          <w:p w:rsidR="006D0EDA" w:rsidRPr="00D36C8A" w:rsidP="00716E6A">
            <w:pPr>
              <w:autoSpaceDE/>
              <w:autoSpaceDN/>
              <w:adjustRightInd/>
              <w:spacing w:after="0"/>
              <w:jc w:val="right"/>
              <w:rPr>
                <w:rFonts w:eastAsia="Times New Roman" w:cs="Arial"/>
                <w:b/>
                <w:bCs/>
                <w:lang w:eastAsia="en-GB"/>
              </w:rPr>
            </w:pPr>
            <w:r>
              <w:rPr>
                <w:rFonts w:eastAsia="Times New Roman" w:cs="Arial"/>
                <w:b/>
                <w:bCs/>
                <w:lang w:eastAsia="en-GB"/>
              </w:rPr>
              <w:t>1.58</w:t>
            </w:r>
            <w:r w:rsidR="00716E6A">
              <w:rPr>
                <w:rFonts w:eastAsia="Times New Roman" w:cs="Arial"/>
                <w:b/>
                <w:bCs/>
                <w:lang w:eastAsia="en-GB"/>
              </w:rPr>
              <w:t>1</w:t>
            </w:r>
          </w:p>
        </w:tc>
      </w:tr>
    </w:tbl>
    <w:p w:rsidR="006D0EDA" w:rsidRPr="00E95F45" w:rsidP="006D0EDA">
      <w:pPr>
        <w:tabs>
          <w:tab w:val="left" w:pos="567"/>
          <w:tab w:val="left" w:pos="1134"/>
        </w:tabs>
        <w:spacing w:after="0"/>
        <w:rPr>
          <w:rFonts w:cs="Arial"/>
          <w:highlight w:val="yellow"/>
        </w:rPr>
      </w:pPr>
    </w:p>
    <w:p w:rsidR="006D0EDA" w:rsidRPr="00D36C8A" w:rsidP="006D0EDA">
      <w:pPr>
        <w:spacing w:after="0"/>
        <w:rPr>
          <w:rFonts w:cs="Arial"/>
        </w:rPr>
      </w:pPr>
      <w:r w:rsidRPr="00D36C8A">
        <w:rPr>
          <w:rFonts w:cs="Arial"/>
        </w:rPr>
        <w:t>Adult social care represents a large proportion of the demand</w:t>
      </w:r>
      <w:r w:rsidRPr="00D36C8A">
        <w:rPr>
          <w:rFonts w:cs="Arial"/>
          <w:b/>
        </w:rPr>
        <w:t xml:space="preserve"> </w:t>
      </w:r>
      <w:r w:rsidRPr="00D36C8A">
        <w:rPr>
          <w:rFonts w:cs="Arial"/>
        </w:rPr>
        <w:t>pressures.</w:t>
      </w:r>
      <w:r w:rsidRPr="00D36C8A">
        <w:rPr>
          <w:rFonts w:cs="Arial"/>
          <w:b/>
        </w:rPr>
        <w:t xml:space="preserve">  </w:t>
      </w:r>
      <w:r w:rsidRPr="00D36C8A">
        <w:rPr>
          <w:rFonts w:cs="Arial"/>
        </w:rPr>
        <w:t xml:space="preserve">Adult social care has long seen annual increases in the demand for services and the MTFS attempts to predict growth in future years largely based on reviewing current and past activity trends and also taking into account future population changes, particularly with regard to the ageing population. From a social care perspective demand covers both increasing numbers of people eligible for support and the increasing complexity of those cases.  The level of demand included for this service area for the three years to </w:t>
      </w:r>
      <w:r w:rsidRPr="00D36C8A">
        <w:rPr>
          <w:rFonts w:cs="Arial"/>
        </w:rPr>
        <w:t xml:space="preserve">2023/24 is £28.633m. This will continue to be monitored and figures may be updated in future MTFS reports. </w:t>
      </w:r>
    </w:p>
    <w:p w:rsidR="006D0EDA" w:rsidRPr="00FC6FD5" w:rsidP="006D0EDA">
      <w:pPr>
        <w:spacing w:after="0"/>
        <w:ind w:left="502"/>
        <w:rPr>
          <w:rFonts w:cs="Arial"/>
        </w:rPr>
      </w:pPr>
    </w:p>
    <w:p w:rsidR="006D0EDA" w:rsidRPr="00E95F45" w:rsidP="006D0EDA">
      <w:pPr>
        <w:spacing w:after="0"/>
        <w:rPr>
          <w:rFonts w:cs="Arial"/>
          <w:highlight w:val="yellow"/>
        </w:rPr>
      </w:pPr>
      <w:r w:rsidRPr="00FC6FD5">
        <w:rPr>
          <w:rFonts w:cs="Arial"/>
        </w:rPr>
        <w:t xml:space="preserve">Children's social care continues to experience demand pressures across the service, particularly in relation to placement demand due to the number of looked after children in Lancashire. We are working towards the implementation of the Lancashire family safeguarding. The </w:t>
      </w:r>
      <w:r w:rsidRPr="00FC6FD5">
        <w:rPr>
          <w:rFonts w:cs="Arial"/>
          <w:bCs/>
        </w:rPr>
        <w:t>family safeguarding model</w:t>
      </w:r>
      <w:r w:rsidRPr="00FC6FD5">
        <w:rPr>
          <w:rFonts w:cs="Arial"/>
        </w:rPr>
        <w:t xml:space="preserve"> is a way of keeping </w:t>
      </w:r>
      <w:r w:rsidRPr="00FC6FD5">
        <w:rPr>
          <w:rFonts w:cs="Arial"/>
          <w:bCs/>
        </w:rPr>
        <w:t>families</w:t>
      </w:r>
      <w:r w:rsidRPr="00FC6FD5">
        <w:rPr>
          <w:rFonts w:cs="Arial"/>
        </w:rPr>
        <w:t xml:space="preserve"> together where it is safe to do so. This is achieved through a more collaborative way of working where we motivate parents to identify the changes needed within their own </w:t>
      </w:r>
      <w:r w:rsidRPr="00FC6FD5">
        <w:rPr>
          <w:rFonts w:cs="Arial"/>
          <w:bCs/>
        </w:rPr>
        <w:t>families</w:t>
      </w:r>
      <w:r w:rsidRPr="00FC6FD5">
        <w:rPr>
          <w:rFonts w:cs="Arial"/>
        </w:rPr>
        <w:t xml:space="preserve">. This helps achieve better outcomes for children. </w:t>
      </w:r>
    </w:p>
    <w:p w:rsidR="006D0EDA" w:rsidRPr="00E95F45" w:rsidP="006D0EDA">
      <w:pPr>
        <w:spacing w:after="0"/>
        <w:rPr>
          <w:rFonts w:cs="Arial"/>
          <w:highlight w:val="yellow"/>
        </w:rPr>
      </w:pPr>
    </w:p>
    <w:p w:rsidR="006D0EDA" w:rsidP="006D0EDA">
      <w:pPr>
        <w:spacing w:after="0"/>
        <w:rPr>
          <w:rFonts w:cs="Arial"/>
          <w:b/>
        </w:rPr>
      </w:pPr>
      <w:r w:rsidRPr="00FC6FD5">
        <w:rPr>
          <w:rFonts w:cs="Arial"/>
          <w:b/>
        </w:rPr>
        <w:t>3.4 Additional Grant</w:t>
      </w:r>
    </w:p>
    <w:p w:rsidR="00FC6FD5" w:rsidRPr="00FC6FD5" w:rsidP="006D0EDA">
      <w:pPr>
        <w:spacing w:after="0"/>
        <w:rPr>
          <w:rFonts w:cs="Arial"/>
        </w:rPr>
      </w:pPr>
      <w:r>
        <w:rPr>
          <w:rFonts w:cs="Arial"/>
        </w:rPr>
        <w:t>The small changes in additional grant relate to the re-profiling of the delivery of the Lancashire family safeguarding programme within Children's Services. This has been slightl</w:t>
      </w:r>
      <w:r w:rsidR="00DA48B7">
        <w:rPr>
          <w:rFonts w:cs="Arial"/>
        </w:rPr>
        <w:t>y delayed by the impact of Covid</w:t>
      </w:r>
      <w:r>
        <w:rPr>
          <w:rFonts w:cs="Arial"/>
        </w:rPr>
        <w:t xml:space="preserve">-19. </w:t>
      </w:r>
    </w:p>
    <w:p w:rsidR="006D0EDA" w:rsidRPr="00E95F45" w:rsidP="006D0EDA">
      <w:pPr>
        <w:spacing w:after="0"/>
        <w:rPr>
          <w:rFonts w:cs="Arial"/>
          <w:highlight w:val="yellow"/>
        </w:rPr>
      </w:pPr>
    </w:p>
    <w:p w:rsidR="006D0EDA" w:rsidRPr="004D74A8" w:rsidP="006D0EDA">
      <w:pPr>
        <w:tabs>
          <w:tab w:val="left" w:pos="567"/>
          <w:tab w:val="left" w:pos="1134"/>
        </w:tabs>
        <w:spacing w:after="0"/>
        <w:rPr>
          <w:rFonts w:cs="Arial"/>
          <w:b/>
        </w:rPr>
      </w:pPr>
      <w:r w:rsidRPr="004D74A8">
        <w:rPr>
          <w:rFonts w:cs="Arial"/>
          <w:b/>
        </w:rPr>
        <w:t xml:space="preserve">3.5 </w:t>
      </w:r>
      <w:r w:rsidRPr="004D74A8" w:rsidR="00FC6FD5">
        <w:rPr>
          <w:rFonts w:cs="Arial"/>
          <w:b/>
        </w:rPr>
        <w:t>Re-profiled Savings</w:t>
      </w:r>
    </w:p>
    <w:p w:rsidR="006D0EDA" w:rsidRPr="004D74A8" w:rsidP="006D0EDA">
      <w:pPr>
        <w:tabs>
          <w:tab w:val="left" w:pos="567"/>
          <w:tab w:val="left" w:pos="1134"/>
        </w:tabs>
        <w:spacing w:after="0"/>
        <w:rPr>
          <w:rFonts w:cs="Arial"/>
        </w:rPr>
      </w:pPr>
      <w:r>
        <w:rPr>
          <w:rFonts w:cs="Arial"/>
        </w:rPr>
        <w:t>As part of the budget monitoring process a review of the delivery of savings is undertaken. Over recent months there are several savings that have been reviewed and challenged in relation to the delivery timescales for different elements of the agreed savings, with challenge given to the service as to whether this can be offset by savings/underspends elsewhere. Following this rigorous process savings across integrated transport and family safegua</w:t>
      </w:r>
      <w:r w:rsidR="00DA48B7">
        <w:rPr>
          <w:rFonts w:cs="Arial"/>
        </w:rPr>
        <w:t>rding have been re-profiled at q</w:t>
      </w:r>
      <w:r>
        <w:rPr>
          <w:rFonts w:cs="Arial"/>
        </w:rPr>
        <w:t xml:space="preserve">uarter 2. </w:t>
      </w:r>
    </w:p>
    <w:p w:rsidR="006D0EDA" w:rsidRPr="00E95F45" w:rsidP="006D0EDA">
      <w:pPr>
        <w:tabs>
          <w:tab w:val="left" w:pos="567"/>
          <w:tab w:val="left" w:pos="1134"/>
        </w:tabs>
        <w:spacing w:after="0"/>
        <w:rPr>
          <w:rFonts w:cs="Arial"/>
          <w:highlight w:val="yellow"/>
        </w:rPr>
      </w:pPr>
    </w:p>
    <w:p w:rsidR="006D0EDA" w:rsidRPr="00E95F45" w:rsidP="006D0EDA">
      <w:pPr>
        <w:tabs>
          <w:tab w:val="left" w:pos="567"/>
          <w:tab w:val="left" w:pos="1134"/>
        </w:tabs>
        <w:spacing w:after="0"/>
        <w:rPr>
          <w:rFonts w:cs="Arial"/>
          <w:highlight w:val="yellow"/>
        </w:rPr>
      </w:pPr>
    </w:p>
    <w:p w:rsidR="00A70377" w:rsidRPr="00E95F45" w:rsidP="006D0EDA">
      <w:pPr>
        <w:tabs>
          <w:tab w:val="left" w:pos="567"/>
          <w:tab w:val="left" w:pos="1134"/>
        </w:tabs>
        <w:spacing w:after="0"/>
        <w:rPr>
          <w:rFonts w:cs="Arial"/>
          <w:highlight w:val="yellow"/>
        </w:rPr>
      </w:pPr>
    </w:p>
    <w:p w:rsidR="00A70377" w:rsidRPr="00E95F45" w:rsidP="006D0EDA">
      <w:pPr>
        <w:tabs>
          <w:tab w:val="left" w:pos="567"/>
          <w:tab w:val="left" w:pos="1134"/>
        </w:tabs>
        <w:spacing w:after="0"/>
        <w:rPr>
          <w:rFonts w:cs="Arial"/>
          <w:highlight w:val="yellow"/>
        </w:rPr>
      </w:pPr>
    </w:p>
    <w:p w:rsidR="00A70377" w:rsidRPr="00E95F45" w:rsidP="006D0EDA">
      <w:pPr>
        <w:tabs>
          <w:tab w:val="left" w:pos="567"/>
          <w:tab w:val="left" w:pos="1134"/>
        </w:tabs>
        <w:spacing w:after="0"/>
        <w:rPr>
          <w:rFonts w:cs="Arial"/>
          <w:highlight w:val="yellow"/>
        </w:rPr>
      </w:pPr>
    </w:p>
    <w:p w:rsidR="00A70377" w:rsidRPr="00E95F45" w:rsidP="006D0EDA">
      <w:pPr>
        <w:tabs>
          <w:tab w:val="left" w:pos="567"/>
          <w:tab w:val="left" w:pos="1134"/>
        </w:tabs>
        <w:spacing w:after="0"/>
        <w:rPr>
          <w:rFonts w:cs="Arial"/>
          <w:highlight w:val="yellow"/>
        </w:rPr>
      </w:pPr>
    </w:p>
    <w:p w:rsidR="00A70377" w:rsidRPr="00E95F45" w:rsidP="006D0EDA">
      <w:pPr>
        <w:tabs>
          <w:tab w:val="left" w:pos="567"/>
          <w:tab w:val="left" w:pos="1134"/>
        </w:tabs>
        <w:spacing w:after="0"/>
        <w:rPr>
          <w:rFonts w:cs="Arial"/>
          <w:highlight w:val="yellow"/>
        </w:rPr>
      </w:pPr>
    </w:p>
    <w:p w:rsidR="00D124CF" w:rsidRPr="00E95F45" w:rsidP="006D0EDA">
      <w:pPr>
        <w:tabs>
          <w:tab w:val="left" w:pos="567"/>
          <w:tab w:val="left" w:pos="1134"/>
        </w:tabs>
        <w:spacing w:after="0"/>
        <w:rPr>
          <w:rFonts w:cs="Arial"/>
          <w:highlight w:val="yellow"/>
        </w:rPr>
      </w:pPr>
    </w:p>
    <w:p w:rsidR="00D124CF" w:rsidRPr="00E95F45" w:rsidP="006D0EDA">
      <w:pPr>
        <w:tabs>
          <w:tab w:val="left" w:pos="567"/>
          <w:tab w:val="left" w:pos="1134"/>
        </w:tabs>
        <w:spacing w:after="0"/>
        <w:rPr>
          <w:rFonts w:cs="Arial"/>
          <w:highlight w:val="yellow"/>
        </w:rPr>
      </w:pPr>
    </w:p>
    <w:p w:rsidR="00D124CF" w:rsidRPr="00E95F45" w:rsidP="006D0EDA">
      <w:pPr>
        <w:tabs>
          <w:tab w:val="left" w:pos="567"/>
          <w:tab w:val="left" w:pos="1134"/>
        </w:tabs>
        <w:spacing w:after="0"/>
        <w:rPr>
          <w:rFonts w:cs="Arial"/>
          <w:highlight w:val="yellow"/>
        </w:rPr>
      </w:pPr>
    </w:p>
    <w:p w:rsidR="00D124CF" w:rsidRPr="00E95F45" w:rsidP="006D0EDA">
      <w:pPr>
        <w:tabs>
          <w:tab w:val="left" w:pos="567"/>
          <w:tab w:val="left" w:pos="1134"/>
        </w:tabs>
        <w:spacing w:after="0"/>
        <w:rPr>
          <w:rFonts w:cs="Arial"/>
          <w:highlight w:val="yellow"/>
        </w:rPr>
      </w:pPr>
    </w:p>
    <w:p w:rsidR="00D124CF" w:rsidRPr="00E95F45" w:rsidP="006D0EDA">
      <w:pPr>
        <w:tabs>
          <w:tab w:val="left" w:pos="567"/>
          <w:tab w:val="left" w:pos="1134"/>
        </w:tabs>
        <w:spacing w:after="0"/>
        <w:rPr>
          <w:rFonts w:cs="Arial"/>
          <w:highlight w:val="yellow"/>
        </w:rPr>
      </w:pPr>
    </w:p>
    <w:p w:rsidR="00D124CF"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P="006D0EDA">
      <w:pPr>
        <w:tabs>
          <w:tab w:val="left" w:pos="567"/>
          <w:tab w:val="left" w:pos="1134"/>
        </w:tabs>
        <w:spacing w:after="0"/>
        <w:rPr>
          <w:rFonts w:cs="Arial"/>
          <w:highlight w:val="yellow"/>
        </w:rPr>
      </w:pPr>
    </w:p>
    <w:p w:rsidR="004D74A8" w:rsidRPr="00E95F45" w:rsidP="006D0EDA">
      <w:pPr>
        <w:tabs>
          <w:tab w:val="left" w:pos="567"/>
          <w:tab w:val="left" w:pos="1134"/>
        </w:tabs>
        <w:spacing w:after="0"/>
        <w:rPr>
          <w:rFonts w:cs="Arial"/>
          <w:highlight w:val="yellow"/>
        </w:rPr>
      </w:pPr>
    </w:p>
    <w:p w:rsidR="006D0EDA" w:rsidRPr="00D36C8A" w:rsidP="006D0EDA">
      <w:pPr>
        <w:tabs>
          <w:tab w:val="left" w:pos="567"/>
          <w:tab w:val="left" w:pos="1134"/>
        </w:tabs>
        <w:spacing w:after="0"/>
        <w:rPr>
          <w:rFonts w:cs="Arial"/>
          <w:b/>
        </w:rPr>
      </w:pPr>
      <w:r w:rsidRPr="00D36C8A">
        <w:rPr>
          <w:rFonts w:cs="Arial"/>
          <w:b/>
        </w:rPr>
        <w:t>4. Reserves</w:t>
      </w:r>
    </w:p>
    <w:p w:rsidR="006D0EDA" w:rsidRPr="00D36C8A" w:rsidP="006D0EDA">
      <w:pPr>
        <w:tabs>
          <w:tab w:val="left" w:pos="567"/>
          <w:tab w:val="left" w:pos="1134"/>
        </w:tabs>
        <w:spacing w:after="0"/>
        <w:rPr>
          <w:rFonts w:cs="Arial"/>
          <w:b/>
        </w:rPr>
      </w:pPr>
    </w:p>
    <w:p w:rsidR="006D0EDA" w:rsidP="006D0EDA">
      <w:pPr>
        <w:tabs>
          <w:tab w:val="left" w:pos="567"/>
          <w:tab w:val="left" w:pos="1134"/>
        </w:tabs>
        <w:spacing w:after="0"/>
        <w:rPr>
          <w:rFonts w:cs="Arial"/>
          <w:b/>
          <w:i/>
          <w:u w:val="single"/>
        </w:rPr>
      </w:pPr>
      <w:r w:rsidRPr="00D36C8A">
        <w:rPr>
          <w:rFonts w:cs="Arial"/>
          <w:b/>
          <w:i/>
          <w:u w:val="single"/>
        </w:rPr>
        <w:t>Table 7</w:t>
      </w:r>
      <w:r w:rsidR="004C78DC">
        <w:rPr>
          <w:rFonts w:cs="Arial"/>
          <w:b/>
          <w:i/>
          <w:u w:val="single"/>
        </w:rPr>
        <w:t xml:space="preserve"> </w:t>
      </w:r>
    </w:p>
    <w:p w:rsidR="004D74A8" w:rsidRPr="00D36C8A" w:rsidP="006D0EDA">
      <w:pPr>
        <w:tabs>
          <w:tab w:val="left" w:pos="567"/>
          <w:tab w:val="left" w:pos="1134"/>
        </w:tabs>
        <w:spacing w:after="0"/>
        <w:rPr>
          <w:rFonts w:cs="Arial"/>
          <w:b/>
          <w:i/>
          <w:u w:val="single"/>
        </w:rPr>
      </w:pPr>
    </w:p>
    <w:tbl>
      <w:tblPr>
        <w:tblW w:w="9860" w:type="dxa"/>
        <w:tblLook w:val="04A0"/>
      </w:tblPr>
      <w:tblGrid>
        <w:gridCol w:w="2440"/>
        <w:gridCol w:w="1220"/>
        <w:gridCol w:w="1020"/>
        <w:gridCol w:w="1140"/>
        <w:gridCol w:w="1080"/>
        <w:gridCol w:w="920"/>
        <w:gridCol w:w="920"/>
        <w:gridCol w:w="1120"/>
      </w:tblGrid>
      <w:tr w:rsidTr="00F13F74">
        <w:tblPrEx>
          <w:tblW w:w="9860" w:type="dxa"/>
          <w:tblLook w:val="04A0"/>
        </w:tblPrEx>
        <w:trPr>
          <w:trHeight w:val="1522"/>
        </w:trPr>
        <w:tc>
          <w:tcPr>
            <w:tcW w:w="24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072212" w:rsidRPr="00E72BD7" w:rsidP="00F13F74">
            <w:pPr>
              <w:spacing w:after="0"/>
              <w:jc w:val="center"/>
              <w:rPr>
                <w:rFonts w:eastAsia="Times New Roman" w:cs="Arial"/>
                <w:b/>
                <w:bCs/>
                <w:sz w:val="18"/>
                <w:szCs w:val="18"/>
                <w:lang w:eastAsia="en-GB"/>
              </w:rPr>
            </w:pPr>
            <w:r w:rsidRPr="00E72BD7">
              <w:rPr>
                <w:rFonts w:eastAsia="Times New Roman" w:cs="Arial"/>
                <w:b/>
                <w:bCs/>
                <w:sz w:val="18"/>
                <w:szCs w:val="18"/>
                <w:lang w:eastAsia="en-GB"/>
              </w:rPr>
              <w:t>Reserve Name</w:t>
            </w:r>
          </w:p>
        </w:tc>
        <w:tc>
          <w:tcPr>
            <w:tcW w:w="1220" w:type="dxa"/>
            <w:tcBorders>
              <w:top w:val="single" w:sz="8" w:space="0" w:color="auto"/>
              <w:left w:val="nil"/>
              <w:bottom w:val="single" w:sz="4" w:space="0" w:color="auto"/>
              <w:right w:val="single" w:sz="4" w:space="0" w:color="auto"/>
            </w:tcBorders>
            <w:shd w:val="clear" w:color="000000" w:fill="BFBFBF"/>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Opening balance 2020/21</w:t>
            </w:r>
          </w:p>
        </w:tc>
        <w:tc>
          <w:tcPr>
            <w:tcW w:w="1020" w:type="dxa"/>
            <w:tcBorders>
              <w:top w:val="single" w:sz="8" w:space="0" w:color="auto"/>
              <w:left w:val="nil"/>
              <w:bottom w:val="single" w:sz="4" w:space="0" w:color="auto"/>
              <w:right w:val="single" w:sz="4" w:space="0" w:color="auto"/>
            </w:tcBorders>
            <w:shd w:val="clear" w:color="000000" w:fill="BFBFBF"/>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 xml:space="preserve"> 2020/21 Forecast </w:t>
            </w:r>
            <w:r w:rsidRPr="00E72BD7">
              <w:rPr>
                <w:rFonts w:eastAsia="Times New Roman" w:cs="Arial"/>
                <w:b/>
                <w:bCs/>
                <w:sz w:val="16"/>
                <w:szCs w:val="16"/>
                <w:lang w:eastAsia="en-GB"/>
              </w:rPr>
              <w:t>Exp</w:t>
            </w:r>
          </w:p>
        </w:tc>
        <w:tc>
          <w:tcPr>
            <w:tcW w:w="1140" w:type="dxa"/>
            <w:tcBorders>
              <w:top w:val="single" w:sz="8" w:space="0" w:color="auto"/>
              <w:left w:val="nil"/>
              <w:bottom w:val="single" w:sz="4" w:space="0" w:color="auto"/>
              <w:right w:val="single" w:sz="4" w:space="0" w:color="auto"/>
            </w:tcBorders>
            <w:shd w:val="clear" w:color="000000" w:fill="BFBFBF"/>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2020/21 Forecast transfers to/from other reserves</w:t>
            </w:r>
          </w:p>
        </w:tc>
        <w:tc>
          <w:tcPr>
            <w:tcW w:w="1080" w:type="dxa"/>
            <w:tcBorders>
              <w:top w:val="single" w:sz="8" w:space="0" w:color="auto"/>
              <w:left w:val="nil"/>
              <w:bottom w:val="single" w:sz="4" w:space="0" w:color="auto"/>
              <w:right w:val="single" w:sz="4" w:space="0" w:color="auto"/>
            </w:tcBorders>
            <w:shd w:val="clear" w:color="000000" w:fill="BFBFBF"/>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2020/21 Forecast Closing Balance</w:t>
            </w:r>
          </w:p>
        </w:tc>
        <w:tc>
          <w:tcPr>
            <w:tcW w:w="920" w:type="dxa"/>
            <w:tcBorders>
              <w:top w:val="single" w:sz="8" w:space="0" w:color="auto"/>
              <w:left w:val="nil"/>
              <w:bottom w:val="single" w:sz="4" w:space="0" w:color="auto"/>
              <w:right w:val="single" w:sz="4" w:space="0" w:color="auto"/>
            </w:tcBorders>
            <w:shd w:val="clear" w:color="000000" w:fill="BFBFBF"/>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 xml:space="preserve">2021-22 Forecast </w:t>
            </w:r>
            <w:r w:rsidRPr="00E72BD7">
              <w:rPr>
                <w:rFonts w:eastAsia="Times New Roman" w:cs="Arial"/>
                <w:b/>
                <w:bCs/>
                <w:sz w:val="16"/>
                <w:szCs w:val="16"/>
                <w:lang w:eastAsia="en-GB"/>
              </w:rPr>
              <w:t>Exp</w:t>
            </w:r>
          </w:p>
        </w:tc>
        <w:tc>
          <w:tcPr>
            <w:tcW w:w="920" w:type="dxa"/>
            <w:tcBorders>
              <w:top w:val="single" w:sz="8" w:space="0" w:color="auto"/>
              <w:left w:val="nil"/>
              <w:bottom w:val="single" w:sz="4" w:space="0" w:color="auto"/>
              <w:right w:val="single" w:sz="4" w:space="0" w:color="auto"/>
            </w:tcBorders>
            <w:shd w:val="clear" w:color="000000" w:fill="BFBFBF"/>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 xml:space="preserve">2022-23 Forecast </w:t>
            </w:r>
            <w:r w:rsidRPr="00E72BD7">
              <w:rPr>
                <w:rFonts w:eastAsia="Times New Roman" w:cs="Arial"/>
                <w:b/>
                <w:bCs/>
                <w:sz w:val="16"/>
                <w:szCs w:val="16"/>
                <w:lang w:eastAsia="en-GB"/>
              </w:rPr>
              <w:t>Exp</w:t>
            </w:r>
          </w:p>
        </w:tc>
        <w:tc>
          <w:tcPr>
            <w:tcW w:w="1120" w:type="dxa"/>
            <w:tcBorders>
              <w:top w:val="single" w:sz="8" w:space="0" w:color="auto"/>
              <w:left w:val="nil"/>
              <w:bottom w:val="single" w:sz="4" w:space="0" w:color="auto"/>
              <w:right w:val="single" w:sz="8" w:space="0" w:color="auto"/>
            </w:tcBorders>
            <w:shd w:val="clear" w:color="000000" w:fill="BFBFBF"/>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Forecast closing balance 31 March 2023</w:t>
            </w:r>
          </w:p>
        </w:tc>
      </w:tr>
      <w:tr w:rsidTr="00F13F74">
        <w:tblPrEx>
          <w:tblW w:w="9860" w:type="dxa"/>
          <w:tblLook w:val="04A0"/>
        </w:tblPrEx>
        <w:trPr>
          <w:trHeight w:val="258"/>
        </w:trPr>
        <w:tc>
          <w:tcPr>
            <w:tcW w:w="2440" w:type="dxa"/>
            <w:tcBorders>
              <w:top w:val="nil"/>
              <w:left w:val="single" w:sz="8" w:space="0" w:color="auto"/>
              <w:bottom w:val="single" w:sz="4" w:space="0" w:color="auto"/>
              <w:right w:val="single" w:sz="4" w:space="0" w:color="auto"/>
            </w:tcBorders>
            <w:shd w:val="clear" w:color="000000" w:fill="BFBFBF"/>
            <w:vAlign w:val="bottom"/>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 </w:t>
            </w:r>
          </w:p>
        </w:tc>
        <w:tc>
          <w:tcPr>
            <w:tcW w:w="1220" w:type="dxa"/>
            <w:tcBorders>
              <w:top w:val="nil"/>
              <w:left w:val="nil"/>
              <w:bottom w:val="single" w:sz="4" w:space="0" w:color="auto"/>
              <w:right w:val="single" w:sz="4" w:space="0" w:color="auto"/>
            </w:tcBorders>
            <w:shd w:val="clear" w:color="000000" w:fill="BFBFBF"/>
            <w:noWrap/>
            <w:vAlign w:val="bottom"/>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£m</w:t>
            </w:r>
          </w:p>
        </w:tc>
        <w:tc>
          <w:tcPr>
            <w:tcW w:w="102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£m</w:t>
            </w:r>
          </w:p>
        </w:tc>
        <w:tc>
          <w:tcPr>
            <w:tcW w:w="114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£m</w:t>
            </w:r>
          </w:p>
        </w:tc>
        <w:tc>
          <w:tcPr>
            <w:tcW w:w="1080" w:type="dxa"/>
            <w:tcBorders>
              <w:top w:val="nil"/>
              <w:left w:val="nil"/>
              <w:bottom w:val="single" w:sz="4" w:space="0" w:color="auto"/>
              <w:right w:val="single" w:sz="4" w:space="0" w:color="auto"/>
            </w:tcBorders>
            <w:shd w:val="clear" w:color="000000" w:fill="BFBFBF"/>
            <w:noWrap/>
            <w:vAlign w:val="bottom"/>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£m</w:t>
            </w:r>
          </w:p>
        </w:tc>
        <w:tc>
          <w:tcPr>
            <w:tcW w:w="920" w:type="dxa"/>
            <w:tcBorders>
              <w:top w:val="nil"/>
              <w:left w:val="nil"/>
              <w:bottom w:val="single" w:sz="4" w:space="0" w:color="auto"/>
              <w:right w:val="single" w:sz="4" w:space="0" w:color="auto"/>
            </w:tcBorders>
            <w:shd w:val="clear" w:color="000000" w:fill="BFBFBF"/>
            <w:noWrap/>
            <w:vAlign w:val="bottom"/>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£m</w:t>
            </w:r>
          </w:p>
        </w:tc>
        <w:tc>
          <w:tcPr>
            <w:tcW w:w="920" w:type="dxa"/>
            <w:tcBorders>
              <w:top w:val="nil"/>
              <w:left w:val="nil"/>
              <w:bottom w:val="single" w:sz="4" w:space="0" w:color="auto"/>
              <w:right w:val="single" w:sz="4" w:space="0" w:color="auto"/>
            </w:tcBorders>
            <w:shd w:val="clear" w:color="000000" w:fill="BFBFBF"/>
            <w:noWrap/>
            <w:vAlign w:val="bottom"/>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£m</w:t>
            </w:r>
          </w:p>
        </w:tc>
        <w:tc>
          <w:tcPr>
            <w:tcW w:w="1120" w:type="dxa"/>
            <w:tcBorders>
              <w:top w:val="nil"/>
              <w:left w:val="nil"/>
              <w:bottom w:val="single" w:sz="4" w:space="0" w:color="auto"/>
              <w:right w:val="single" w:sz="8" w:space="0" w:color="auto"/>
            </w:tcBorders>
            <w:shd w:val="clear" w:color="000000" w:fill="BFBFBF"/>
            <w:noWrap/>
            <w:vAlign w:val="bottom"/>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£m</w:t>
            </w:r>
          </w:p>
        </w:tc>
      </w:tr>
      <w:tr w:rsidTr="00F13F74">
        <w:tblPrEx>
          <w:tblW w:w="9860" w:type="dxa"/>
          <w:tblLook w:val="04A0"/>
        </w:tblPrEx>
        <w:trPr>
          <w:trHeight w:val="642"/>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County Fund</w:t>
            </w:r>
          </w:p>
        </w:tc>
        <w:tc>
          <w:tcPr>
            <w:tcW w:w="12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-23.437</w:t>
            </w:r>
          </w:p>
        </w:tc>
        <w:tc>
          <w:tcPr>
            <w:tcW w:w="10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14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08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-23.437</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-23.437</w:t>
            </w:r>
          </w:p>
        </w:tc>
      </w:tr>
      <w:tr w:rsidTr="00F13F74">
        <w:tblPrEx>
          <w:tblW w:w="9860" w:type="dxa"/>
          <w:tblLook w:val="04A0"/>
        </w:tblPrEx>
        <w:trPr>
          <w:trHeight w:val="642"/>
        </w:trPr>
        <w:tc>
          <w:tcPr>
            <w:tcW w:w="2440" w:type="dxa"/>
            <w:tcBorders>
              <w:top w:val="nil"/>
              <w:left w:val="single" w:sz="8" w:space="0" w:color="auto"/>
              <w:bottom w:val="single" w:sz="8" w:space="0" w:color="auto"/>
              <w:right w:val="single" w:sz="4" w:space="0" w:color="auto"/>
            </w:tcBorders>
            <w:shd w:val="clear" w:color="000000" w:fill="BFBFBF"/>
            <w:vAlign w:val="center"/>
            <w:hideMark/>
          </w:tcPr>
          <w:p w:rsidR="00072212" w:rsidRPr="00E72BD7" w:rsidP="00F13F74">
            <w:pPr>
              <w:spacing w:after="0"/>
              <w:rPr>
                <w:rFonts w:eastAsia="Times New Roman" w:cs="Arial"/>
                <w:b/>
                <w:bCs/>
                <w:sz w:val="16"/>
                <w:szCs w:val="16"/>
                <w:lang w:eastAsia="en-GB"/>
              </w:rPr>
            </w:pPr>
            <w:r w:rsidRPr="00E72BD7">
              <w:rPr>
                <w:rFonts w:eastAsia="Times New Roman" w:cs="Arial"/>
                <w:b/>
                <w:bCs/>
                <w:sz w:val="16"/>
                <w:szCs w:val="16"/>
                <w:lang w:eastAsia="en-GB"/>
              </w:rPr>
              <w:t>SUB TOTAL - COUNTY FUND</w:t>
            </w:r>
          </w:p>
        </w:tc>
        <w:tc>
          <w:tcPr>
            <w:tcW w:w="1220" w:type="dxa"/>
            <w:tcBorders>
              <w:top w:val="nil"/>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-23.437</w:t>
            </w:r>
          </w:p>
        </w:tc>
        <w:tc>
          <w:tcPr>
            <w:tcW w:w="1020" w:type="dxa"/>
            <w:tcBorders>
              <w:top w:val="nil"/>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0.000</w:t>
            </w:r>
          </w:p>
        </w:tc>
        <w:tc>
          <w:tcPr>
            <w:tcW w:w="1140" w:type="dxa"/>
            <w:tcBorders>
              <w:top w:val="nil"/>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0.000</w:t>
            </w:r>
          </w:p>
        </w:tc>
        <w:tc>
          <w:tcPr>
            <w:tcW w:w="1080" w:type="dxa"/>
            <w:tcBorders>
              <w:top w:val="nil"/>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-23.437</w:t>
            </w:r>
          </w:p>
        </w:tc>
        <w:tc>
          <w:tcPr>
            <w:tcW w:w="920" w:type="dxa"/>
            <w:tcBorders>
              <w:top w:val="nil"/>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0.000</w:t>
            </w:r>
          </w:p>
        </w:tc>
        <w:tc>
          <w:tcPr>
            <w:tcW w:w="920" w:type="dxa"/>
            <w:tcBorders>
              <w:top w:val="nil"/>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0.000</w:t>
            </w:r>
          </w:p>
        </w:tc>
        <w:tc>
          <w:tcPr>
            <w:tcW w:w="1120" w:type="dxa"/>
            <w:tcBorders>
              <w:top w:val="nil"/>
              <w:left w:val="nil"/>
              <w:bottom w:val="single" w:sz="8"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-23.437</w:t>
            </w:r>
          </w:p>
        </w:tc>
      </w:tr>
      <w:tr w:rsidTr="00F13F74">
        <w:tblPrEx>
          <w:tblW w:w="9860" w:type="dxa"/>
          <w:tblLook w:val="04A0"/>
        </w:tblPrEx>
        <w:trPr>
          <w:trHeight w:val="642"/>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Strategic Investment Reserve</w:t>
            </w:r>
          </w:p>
        </w:tc>
        <w:tc>
          <w:tcPr>
            <w:tcW w:w="12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-5.819</w:t>
            </w:r>
          </w:p>
        </w:tc>
        <w:tc>
          <w:tcPr>
            <w:tcW w:w="10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-0.828</w:t>
            </w:r>
          </w:p>
        </w:tc>
        <w:tc>
          <w:tcPr>
            <w:tcW w:w="114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1.966</w:t>
            </w:r>
          </w:p>
        </w:tc>
        <w:tc>
          <w:tcPr>
            <w:tcW w:w="1080" w:type="dxa"/>
            <w:tcBorders>
              <w:top w:val="single" w:sz="4" w:space="0" w:color="auto"/>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-4.681</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2.894</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0.773</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-1.014</w:t>
            </w:r>
          </w:p>
        </w:tc>
      </w:tr>
      <w:tr w:rsidTr="00F13F74">
        <w:tblPrEx>
          <w:tblW w:w="9860" w:type="dxa"/>
          <w:tblLook w:val="04A0"/>
        </w:tblPrEx>
        <w:trPr>
          <w:trHeight w:val="642"/>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COVID-19 Reserve</w:t>
            </w:r>
          </w:p>
        </w:tc>
        <w:tc>
          <w:tcPr>
            <w:tcW w:w="12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-33.961</w:t>
            </w:r>
          </w:p>
        </w:tc>
        <w:tc>
          <w:tcPr>
            <w:tcW w:w="10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33.961</w:t>
            </w:r>
          </w:p>
        </w:tc>
        <w:tc>
          <w:tcPr>
            <w:tcW w:w="114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08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r>
      <w:tr w:rsidTr="00F13F74">
        <w:tblPrEx>
          <w:tblW w:w="9860" w:type="dxa"/>
          <w:tblLook w:val="04A0"/>
        </w:tblPrEx>
        <w:trPr>
          <w:trHeight w:val="642"/>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Downsizing Reserve</w:t>
            </w:r>
          </w:p>
        </w:tc>
        <w:tc>
          <w:tcPr>
            <w:tcW w:w="12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-5.642</w:t>
            </w:r>
          </w:p>
        </w:tc>
        <w:tc>
          <w:tcPr>
            <w:tcW w:w="10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1.802</w:t>
            </w:r>
          </w:p>
        </w:tc>
        <w:tc>
          <w:tcPr>
            <w:tcW w:w="114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08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-3.840</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1.920</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1.920</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r>
      <w:tr w:rsidTr="00F13F74">
        <w:tblPrEx>
          <w:tblW w:w="9860" w:type="dxa"/>
          <w:tblLook w:val="04A0"/>
        </w:tblPrEx>
        <w:trPr>
          <w:trHeight w:val="642"/>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 xml:space="preserve">Risk Management Reserve </w:t>
            </w:r>
          </w:p>
        </w:tc>
        <w:tc>
          <w:tcPr>
            <w:tcW w:w="12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-1.935</w:t>
            </w:r>
          </w:p>
        </w:tc>
        <w:tc>
          <w:tcPr>
            <w:tcW w:w="10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0.817</w:t>
            </w:r>
          </w:p>
        </w:tc>
        <w:tc>
          <w:tcPr>
            <w:tcW w:w="114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08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-1.118</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0.876</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0.242</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r>
      <w:tr w:rsidTr="00F13F74">
        <w:tblPrEx>
          <w:tblW w:w="9860" w:type="dxa"/>
          <w:tblLook w:val="04A0"/>
        </w:tblPrEx>
        <w:trPr>
          <w:trHeight w:val="642"/>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Transitional Reserve</w:t>
            </w:r>
          </w:p>
        </w:tc>
        <w:tc>
          <w:tcPr>
            <w:tcW w:w="12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-151.199</w:t>
            </w:r>
          </w:p>
        </w:tc>
        <w:tc>
          <w:tcPr>
            <w:tcW w:w="10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0.304</w:t>
            </w:r>
          </w:p>
        </w:tc>
        <w:tc>
          <w:tcPr>
            <w:tcW w:w="114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-0.346</w:t>
            </w:r>
          </w:p>
        </w:tc>
        <w:tc>
          <w:tcPr>
            <w:tcW w:w="108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-151.241</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0.494</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0.201</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-150.546</w:t>
            </w:r>
          </w:p>
        </w:tc>
      </w:tr>
      <w:tr w:rsidTr="00F13F74">
        <w:tblPrEx>
          <w:tblW w:w="9860" w:type="dxa"/>
          <w:tblLook w:val="04A0"/>
        </w:tblPrEx>
        <w:trPr>
          <w:trHeight w:val="642"/>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 xml:space="preserve">Service Reserves </w:t>
            </w:r>
          </w:p>
        </w:tc>
        <w:tc>
          <w:tcPr>
            <w:tcW w:w="12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-18.201</w:t>
            </w:r>
          </w:p>
        </w:tc>
        <w:tc>
          <w:tcPr>
            <w:tcW w:w="10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10.522</w:t>
            </w:r>
          </w:p>
        </w:tc>
        <w:tc>
          <w:tcPr>
            <w:tcW w:w="114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-1.966</w:t>
            </w:r>
          </w:p>
        </w:tc>
        <w:tc>
          <w:tcPr>
            <w:tcW w:w="108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-9.645</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8.011</w:t>
            </w:r>
          </w:p>
        </w:tc>
        <w:tc>
          <w:tcPr>
            <w:tcW w:w="920" w:type="dxa"/>
            <w:tcBorders>
              <w:top w:val="nil"/>
              <w:left w:val="nil"/>
              <w:bottom w:val="single" w:sz="4" w:space="0" w:color="auto"/>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0.580</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-1.054</w:t>
            </w:r>
          </w:p>
        </w:tc>
      </w:tr>
      <w:tr w:rsidTr="00F13F74">
        <w:tblPrEx>
          <w:tblW w:w="9860" w:type="dxa"/>
          <w:tblLook w:val="04A0"/>
        </w:tblPrEx>
        <w:trPr>
          <w:trHeight w:val="642"/>
        </w:trPr>
        <w:tc>
          <w:tcPr>
            <w:tcW w:w="2440" w:type="dxa"/>
            <w:tcBorders>
              <w:top w:val="nil"/>
              <w:left w:val="single" w:sz="8" w:space="0" w:color="auto"/>
              <w:bottom w:val="nil"/>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Treasury Management Reserve</w:t>
            </w:r>
          </w:p>
        </w:tc>
        <w:tc>
          <w:tcPr>
            <w:tcW w:w="122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-11.597</w:t>
            </w:r>
          </w:p>
        </w:tc>
        <w:tc>
          <w:tcPr>
            <w:tcW w:w="102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14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08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-11.597</w:t>
            </w:r>
          </w:p>
        </w:tc>
        <w:tc>
          <w:tcPr>
            <w:tcW w:w="92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92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0.000</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-11.597</w:t>
            </w:r>
          </w:p>
        </w:tc>
      </w:tr>
      <w:tr w:rsidTr="00F13F74">
        <w:tblPrEx>
          <w:tblW w:w="9860" w:type="dxa"/>
          <w:tblLook w:val="04A0"/>
        </w:tblPrEx>
        <w:trPr>
          <w:trHeight w:val="642"/>
        </w:trPr>
        <w:tc>
          <w:tcPr>
            <w:tcW w:w="2440"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072212" w:rsidRPr="00E72BD7" w:rsidP="00F13F74">
            <w:pPr>
              <w:spacing w:after="0"/>
              <w:rPr>
                <w:rFonts w:eastAsia="Times New Roman" w:cs="Arial"/>
                <w:b/>
                <w:bCs/>
                <w:sz w:val="16"/>
                <w:szCs w:val="16"/>
                <w:lang w:eastAsia="en-GB"/>
              </w:rPr>
            </w:pPr>
            <w:r w:rsidRPr="00E72BD7">
              <w:rPr>
                <w:rFonts w:eastAsia="Times New Roman" w:cs="Arial"/>
                <w:b/>
                <w:bCs/>
                <w:sz w:val="16"/>
                <w:szCs w:val="16"/>
                <w:lang w:eastAsia="en-GB"/>
              </w:rPr>
              <w:t>SUB TOTAL - LCC RESERVES</w:t>
            </w:r>
          </w:p>
        </w:tc>
        <w:tc>
          <w:tcPr>
            <w:tcW w:w="122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-228.354</w:t>
            </w:r>
          </w:p>
        </w:tc>
        <w:tc>
          <w:tcPr>
            <w:tcW w:w="102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46.578</w:t>
            </w:r>
          </w:p>
        </w:tc>
        <w:tc>
          <w:tcPr>
            <w:tcW w:w="114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-0.346</w:t>
            </w:r>
          </w:p>
        </w:tc>
        <w:tc>
          <w:tcPr>
            <w:tcW w:w="1080" w:type="dxa"/>
            <w:tcBorders>
              <w:top w:val="nil"/>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-182.122</w:t>
            </w:r>
          </w:p>
        </w:tc>
        <w:tc>
          <w:tcPr>
            <w:tcW w:w="92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14.195</w:t>
            </w:r>
          </w:p>
        </w:tc>
        <w:tc>
          <w:tcPr>
            <w:tcW w:w="92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3.716</w:t>
            </w:r>
          </w:p>
        </w:tc>
        <w:tc>
          <w:tcPr>
            <w:tcW w:w="1120" w:type="dxa"/>
            <w:tcBorders>
              <w:top w:val="nil"/>
              <w:left w:val="nil"/>
              <w:bottom w:val="single" w:sz="8"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-164.211</w:t>
            </w:r>
          </w:p>
        </w:tc>
      </w:tr>
      <w:tr w:rsidTr="00F13F74">
        <w:tblPrEx>
          <w:tblW w:w="9860" w:type="dxa"/>
          <w:tblLook w:val="04A0"/>
        </w:tblPrEx>
        <w:trPr>
          <w:trHeight w:val="642"/>
        </w:trPr>
        <w:tc>
          <w:tcPr>
            <w:tcW w:w="2440" w:type="dxa"/>
            <w:tcBorders>
              <w:top w:val="nil"/>
              <w:left w:val="single" w:sz="8" w:space="0" w:color="auto"/>
              <w:bottom w:val="single" w:sz="4" w:space="0" w:color="auto"/>
              <w:right w:val="single" w:sz="4" w:space="0" w:color="auto"/>
            </w:tcBorders>
            <w:shd w:val="clear" w:color="auto" w:fill="auto"/>
            <w:vAlign w:val="center"/>
            <w:hideMark/>
          </w:tcPr>
          <w:p w:rsidR="00072212" w:rsidRPr="00E72BD7" w:rsidP="00F13F74">
            <w:pPr>
              <w:spacing w:after="0"/>
              <w:rPr>
                <w:rFonts w:eastAsia="Times New Roman" w:cs="Arial"/>
                <w:sz w:val="16"/>
                <w:szCs w:val="16"/>
                <w:lang w:eastAsia="en-GB"/>
              </w:rPr>
            </w:pPr>
            <w:r w:rsidRPr="00E72BD7">
              <w:rPr>
                <w:rFonts w:eastAsia="Times New Roman" w:cs="Arial"/>
                <w:sz w:val="16"/>
                <w:szCs w:val="16"/>
                <w:lang w:eastAsia="en-GB"/>
              </w:rPr>
              <w:t>Non-LCC Service Reserves</w:t>
            </w:r>
          </w:p>
        </w:tc>
        <w:tc>
          <w:tcPr>
            <w:tcW w:w="122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-16.305</w:t>
            </w:r>
          </w:p>
        </w:tc>
        <w:tc>
          <w:tcPr>
            <w:tcW w:w="102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1.292</w:t>
            </w:r>
          </w:p>
        </w:tc>
        <w:tc>
          <w:tcPr>
            <w:tcW w:w="114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0.346</w:t>
            </w:r>
          </w:p>
        </w:tc>
        <w:tc>
          <w:tcPr>
            <w:tcW w:w="1080" w:type="dxa"/>
            <w:tcBorders>
              <w:top w:val="nil"/>
              <w:left w:val="nil"/>
              <w:bottom w:val="single" w:sz="4"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-14.667</w:t>
            </w:r>
          </w:p>
        </w:tc>
        <w:tc>
          <w:tcPr>
            <w:tcW w:w="92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1.669</w:t>
            </w:r>
          </w:p>
        </w:tc>
        <w:tc>
          <w:tcPr>
            <w:tcW w:w="920" w:type="dxa"/>
            <w:tcBorders>
              <w:top w:val="nil"/>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0.246</w:t>
            </w:r>
          </w:p>
        </w:tc>
        <w:tc>
          <w:tcPr>
            <w:tcW w:w="1120" w:type="dxa"/>
            <w:tcBorders>
              <w:top w:val="nil"/>
              <w:left w:val="nil"/>
              <w:bottom w:val="single" w:sz="4"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-12.752</w:t>
            </w:r>
          </w:p>
        </w:tc>
      </w:tr>
      <w:tr w:rsidTr="00F13F74">
        <w:tblPrEx>
          <w:tblW w:w="9860" w:type="dxa"/>
          <w:tblLook w:val="04A0"/>
        </w:tblPrEx>
        <w:trPr>
          <w:trHeight w:val="432"/>
        </w:trPr>
        <w:tc>
          <w:tcPr>
            <w:tcW w:w="2440" w:type="dxa"/>
            <w:tcBorders>
              <w:top w:val="nil"/>
              <w:left w:val="single" w:sz="8" w:space="0" w:color="auto"/>
              <w:bottom w:val="single" w:sz="8" w:space="0" w:color="auto"/>
              <w:right w:val="single" w:sz="4" w:space="0" w:color="auto"/>
            </w:tcBorders>
            <w:shd w:val="clear" w:color="000000" w:fill="BFBFBF"/>
            <w:vAlign w:val="center"/>
            <w:hideMark/>
          </w:tcPr>
          <w:p w:rsidR="00072212" w:rsidRPr="00E72BD7" w:rsidP="00F13F74">
            <w:pPr>
              <w:spacing w:after="0"/>
              <w:rPr>
                <w:rFonts w:eastAsia="Times New Roman" w:cs="Arial"/>
                <w:b/>
                <w:bCs/>
                <w:sz w:val="16"/>
                <w:szCs w:val="16"/>
                <w:lang w:eastAsia="en-GB"/>
              </w:rPr>
            </w:pPr>
            <w:r w:rsidRPr="00E72BD7">
              <w:rPr>
                <w:rFonts w:eastAsia="Times New Roman" w:cs="Arial"/>
                <w:b/>
                <w:bCs/>
                <w:sz w:val="16"/>
                <w:szCs w:val="16"/>
                <w:lang w:eastAsia="en-GB"/>
              </w:rPr>
              <w:t>SUB TOTAL - NON LCC RESERVES</w:t>
            </w:r>
          </w:p>
        </w:tc>
        <w:tc>
          <w:tcPr>
            <w:tcW w:w="122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-16.305</w:t>
            </w:r>
          </w:p>
        </w:tc>
        <w:tc>
          <w:tcPr>
            <w:tcW w:w="102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1.292</w:t>
            </w:r>
          </w:p>
        </w:tc>
        <w:tc>
          <w:tcPr>
            <w:tcW w:w="114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0.346</w:t>
            </w:r>
          </w:p>
        </w:tc>
        <w:tc>
          <w:tcPr>
            <w:tcW w:w="1080" w:type="dxa"/>
            <w:tcBorders>
              <w:top w:val="nil"/>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-14.667</w:t>
            </w:r>
          </w:p>
        </w:tc>
        <w:tc>
          <w:tcPr>
            <w:tcW w:w="92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1.669</w:t>
            </w:r>
          </w:p>
        </w:tc>
        <w:tc>
          <w:tcPr>
            <w:tcW w:w="920" w:type="dxa"/>
            <w:tcBorders>
              <w:top w:val="single" w:sz="4"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0.246</w:t>
            </w:r>
          </w:p>
        </w:tc>
        <w:tc>
          <w:tcPr>
            <w:tcW w:w="1120" w:type="dxa"/>
            <w:tcBorders>
              <w:top w:val="nil"/>
              <w:left w:val="nil"/>
              <w:bottom w:val="single" w:sz="8"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-12.752</w:t>
            </w:r>
          </w:p>
        </w:tc>
      </w:tr>
      <w:tr w:rsidTr="00F13F74">
        <w:tblPrEx>
          <w:tblW w:w="9860" w:type="dxa"/>
          <w:tblLook w:val="04A0"/>
        </w:tblPrEx>
        <w:trPr>
          <w:trHeight w:val="299"/>
        </w:trPr>
        <w:tc>
          <w:tcPr>
            <w:tcW w:w="2440" w:type="dxa"/>
            <w:tcBorders>
              <w:top w:val="single" w:sz="4" w:space="0" w:color="auto"/>
              <w:left w:val="single" w:sz="8" w:space="0" w:color="auto"/>
              <w:bottom w:val="nil"/>
              <w:right w:val="single" w:sz="4" w:space="0" w:color="auto"/>
            </w:tcBorders>
            <w:shd w:val="clear" w:color="auto" w:fill="auto"/>
            <w:vAlign w:val="center"/>
            <w:hideMark/>
          </w:tcPr>
          <w:p w:rsidR="00072212" w:rsidRPr="00E72BD7" w:rsidP="00F13F74">
            <w:pPr>
              <w:spacing w:after="0"/>
              <w:rPr>
                <w:rFonts w:eastAsia="Times New Roman" w:cs="Arial"/>
                <w:i/>
                <w:iCs/>
                <w:sz w:val="16"/>
                <w:szCs w:val="16"/>
                <w:lang w:eastAsia="en-GB"/>
              </w:rPr>
            </w:pPr>
            <w:r w:rsidRPr="00E72BD7">
              <w:rPr>
                <w:rFonts w:eastAsia="Times New Roman" w:cs="Arial"/>
                <w:i/>
                <w:iCs/>
                <w:sz w:val="16"/>
                <w:szCs w:val="16"/>
                <w:lang w:eastAsia="en-GB"/>
              </w:rPr>
              <w:t> </w:t>
            </w:r>
          </w:p>
        </w:tc>
        <w:tc>
          <w:tcPr>
            <w:tcW w:w="1220" w:type="dxa"/>
            <w:tcBorders>
              <w:top w:val="single" w:sz="4" w:space="0" w:color="auto"/>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 </w:t>
            </w:r>
          </w:p>
        </w:tc>
        <w:tc>
          <w:tcPr>
            <w:tcW w:w="1020" w:type="dxa"/>
            <w:tcBorders>
              <w:top w:val="single" w:sz="4" w:space="0" w:color="auto"/>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 </w:t>
            </w:r>
          </w:p>
        </w:tc>
        <w:tc>
          <w:tcPr>
            <w:tcW w:w="1140" w:type="dxa"/>
            <w:tcBorders>
              <w:top w:val="single" w:sz="4" w:space="0" w:color="auto"/>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 </w:t>
            </w:r>
          </w:p>
        </w:tc>
        <w:tc>
          <w:tcPr>
            <w:tcW w:w="1080" w:type="dxa"/>
            <w:tcBorders>
              <w:top w:val="single" w:sz="4" w:space="0" w:color="auto"/>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sz w:val="16"/>
                <w:szCs w:val="16"/>
                <w:lang w:eastAsia="en-GB"/>
              </w:rPr>
            </w:pPr>
            <w:r w:rsidRPr="00E72BD7">
              <w:rPr>
                <w:rFonts w:eastAsia="Times New Roman" w:cs="Arial"/>
                <w:sz w:val="16"/>
                <w:szCs w:val="16"/>
                <w:lang w:eastAsia="en-GB"/>
              </w:rPr>
              <w:t> </w:t>
            </w:r>
          </w:p>
        </w:tc>
        <w:tc>
          <w:tcPr>
            <w:tcW w:w="920" w:type="dxa"/>
            <w:tcBorders>
              <w:top w:val="single" w:sz="4" w:space="0" w:color="auto"/>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i/>
                <w:iCs/>
                <w:sz w:val="16"/>
                <w:szCs w:val="16"/>
                <w:lang w:eastAsia="en-GB"/>
              </w:rPr>
            </w:pPr>
            <w:r w:rsidRPr="00E72BD7">
              <w:rPr>
                <w:rFonts w:eastAsia="Times New Roman" w:cs="Arial"/>
                <w:i/>
                <w:iCs/>
                <w:sz w:val="16"/>
                <w:szCs w:val="16"/>
                <w:lang w:eastAsia="en-GB"/>
              </w:rPr>
              <w:t> </w:t>
            </w:r>
          </w:p>
        </w:tc>
        <w:tc>
          <w:tcPr>
            <w:tcW w:w="920" w:type="dxa"/>
            <w:tcBorders>
              <w:top w:val="single" w:sz="4" w:space="0" w:color="auto"/>
              <w:left w:val="nil"/>
              <w:bottom w:val="nil"/>
              <w:right w:val="single" w:sz="4" w:space="0" w:color="auto"/>
            </w:tcBorders>
            <w:shd w:val="clear" w:color="auto" w:fill="auto"/>
            <w:noWrap/>
            <w:vAlign w:val="center"/>
            <w:hideMark/>
          </w:tcPr>
          <w:p w:rsidR="00072212" w:rsidRPr="00E72BD7" w:rsidP="00F13F74">
            <w:pPr>
              <w:spacing w:after="0"/>
              <w:jc w:val="center"/>
              <w:rPr>
                <w:rFonts w:eastAsia="Times New Roman" w:cs="Arial"/>
                <w:i/>
                <w:iCs/>
                <w:sz w:val="16"/>
                <w:szCs w:val="16"/>
                <w:lang w:eastAsia="en-GB"/>
              </w:rPr>
            </w:pPr>
            <w:r w:rsidRPr="00E72BD7">
              <w:rPr>
                <w:rFonts w:eastAsia="Times New Roman" w:cs="Arial"/>
                <w:i/>
                <w:iCs/>
                <w:sz w:val="16"/>
                <w:szCs w:val="16"/>
                <w:lang w:eastAsia="en-GB"/>
              </w:rPr>
              <w:t> </w:t>
            </w:r>
          </w:p>
        </w:tc>
        <w:tc>
          <w:tcPr>
            <w:tcW w:w="1120" w:type="dxa"/>
            <w:tcBorders>
              <w:top w:val="nil"/>
              <w:left w:val="nil"/>
              <w:bottom w:val="nil"/>
              <w:right w:val="single" w:sz="8" w:space="0" w:color="auto"/>
            </w:tcBorders>
            <w:shd w:val="clear" w:color="auto" w:fill="auto"/>
            <w:noWrap/>
            <w:vAlign w:val="center"/>
            <w:hideMark/>
          </w:tcPr>
          <w:p w:rsidR="00072212" w:rsidRPr="00E72BD7" w:rsidP="00F13F74">
            <w:pPr>
              <w:spacing w:after="0"/>
              <w:jc w:val="center"/>
              <w:rPr>
                <w:rFonts w:eastAsia="Times New Roman" w:cs="Arial"/>
                <w:i/>
                <w:iCs/>
                <w:sz w:val="16"/>
                <w:szCs w:val="16"/>
                <w:lang w:eastAsia="en-GB"/>
              </w:rPr>
            </w:pPr>
            <w:r w:rsidRPr="00E72BD7">
              <w:rPr>
                <w:rFonts w:eastAsia="Times New Roman" w:cs="Arial"/>
                <w:i/>
                <w:iCs/>
                <w:sz w:val="16"/>
                <w:szCs w:val="16"/>
                <w:lang w:eastAsia="en-GB"/>
              </w:rPr>
              <w:t> </w:t>
            </w:r>
          </w:p>
        </w:tc>
      </w:tr>
      <w:tr w:rsidTr="00F13F74">
        <w:tblPrEx>
          <w:tblW w:w="9860" w:type="dxa"/>
          <w:tblLook w:val="04A0"/>
        </w:tblPrEx>
        <w:trPr>
          <w:trHeight w:val="432"/>
        </w:trPr>
        <w:tc>
          <w:tcPr>
            <w:tcW w:w="244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072212" w:rsidRPr="00E72BD7" w:rsidP="00F13F74">
            <w:pPr>
              <w:spacing w:after="0"/>
              <w:rPr>
                <w:rFonts w:eastAsia="Times New Roman" w:cs="Arial"/>
                <w:b/>
                <w:bCs/>
                <w:sz w:val="16"/>
                <w:szCs w:val="16"/>
                <w:lang w:eastAsia="en-GB"/>
              </w:rPr>
            </w:pPr>
            <w:r w:rsidRPr="00E72BD7">
              <w:rPr>
                <w:rFonts w:eastAsia="Times New Roman" w:cs="Arial"/>
                <w:b/>
                <w:bCs/>
                <w:sz w:val="16"/>
                <w:szCs w:val="16"/>
                <w:lang w:eastAsia="en-GB"/>
              </w:rPr>
              <w:t>GRAND TOTAL</w:t>
            </w:r>
          </w:p>
        </w:tc>
        <w:tc>
          <w:tcPr>
            <w:tcW w:w="1220" w:type="dxa"/>
            <w:tcBorders>
              <w:top w:val="single" w:sz="8"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-268.096</w:t>
            </w:r>
          </w:p>
        </w:tc>
        <w:tc>
          <w:tcPr>
            <w:tcW w:w="1020" w:type="dxa"/>
            <w:tcBorders>
              <w:top w:val="single" w:sz="8"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47.870</w:t>
            </w:r>
          </w:p>
        </w:tc>
        <w:tc>
          <w:tcPr>
            <w:tcW w:w="1140" w:type="dxa"/>
            <w:tcBorders>
              <w:top w:val="single" w:sz="8"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0.000</w:t>
            </w:r>
          </w:p>
        </w:tc>
        <w:tc>
          <w:tcPr>
            <w:tcW w:w="1080" w:type="dxa"/>
            <w:tcBorders>
              <w:top w:val="single" w:sz="8"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-220.226</w:t>
            </w:r>
          </w:p>
        </w:tc>
        <w:tc>
          <w:tcPr>
            <w:tcW w:w="920" w:type="dxa"/>
            <w:tcBorders>
              <w:top w:val="single" w:sz="8"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15.864</w:t>
            </w:r>
          </w:p>
        </w:tc>
        <w:tc>
          <w:tcPr>
            <w:tcW w:w="920" w:type="dxa"/>
            <w:tcBorders>
              <w:top w:val="single" w:sz="8" w:space="0" w:color="auto"/>
              <w:left w:val="nil"/>
              <w:bottom w:val="single" w:sz="8" w:space="0" w:color="auto"/>
              <w:right w:val="single" w:sz="4"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3.962</w:t>
            </w:r>
          </w:p>
        </w:tc>
        <w:tc>
          <w:tcPr>
            <w:tcW w:w="1120" w:type="dxa"/>
            <w:tcBorders>
              <w:top w:val="single" w:sz="8" w:space="0" w:color="auto"/>
              <w:left w:val="nil"/>
              <w:bottom w:val="single" w:sz="8" w:space="0" w:color="auto"/>
              <w:right w:val="single" w:sz="8" w:space="0" w:color="auto"/>
            </w:tcBorders>
            <w:shd w:val="clear" w:color="000000" w:fill="BFBFBF"/>
            <w:noWrap/>
            <w:vAlign w:val="center"/>
            <w:hideMark/>
          </w:tcPr>
          <w:p w:rsidR="00072212" w:rsidRPr="00E72BD7" w:rsidP="00F13F74">
            <w:pPr>
              <w:spacing w:after="0"/>
              <w:jc w:val="center"/>
              <w:rPr>
                <w:rFonts w:eastAsia="Times New Roman" w:cs="Arial"/>
                <w:b/>
                <w:bCs/>
                <w:sz w:val="16"/>
                <w:szCs w:val="16"/>
                <w:lang w:eastAsia="en-GB"/>
              </w:rPr>
            </w:pPr>
            <w:r w:rsidRPr="00E72BD7">
              <w:rPr>
                <w:rFonts w:eastAsia="Times New Roman" w:cs="Arial"/>
                <w:b/>
                <w:bCs/>
                <w:sz w:val="16"/>
                <w:szCs w:val="16"/>
                <w:lang w:eastAsia="en-GB"/>
              </w:rPr>
              <w:t>-200.400</w:t>
            </w:r>
          </w:p>
        </w:tc>
      </w:tr>
    </w:tbl>
    <w:p w:rsidR="006D0EDA" w:rsidRPr="00D36C8A" w:rsidP="006D0EDA">
      <w:pPr>
        <w:spacing w:after="0"/>
        <w:ind w:right="-24"/>
        <w:rPr>
          <w:rFonts w:cs="Arial"/>
        </w:rPr>
      </w:pPr>
      <w:r w:rsidRPr="00E95F45">
        <w:rPr>
          <w:rFonts w:cs="Arial"/>
          <w:highlight w:val="yellow"/>
        </w:rPr>
        <w:br/>
      </w:r>
      <w:r w:rsidRPr="00D36C8A">
        <w:rPr>
          <w:rFonts w:cs="Arial"/>
        </w:rPr>
        <w:t xml:space="preserve">The County Fund shown at the top of Table 7 is the balance set aside to cover the authority against a serious emergency situation (e.g. widespread flooding); a critical and unexpected loss of income to the authority and for general cash flow purposes.  In considering these various factors the county council is forecast to maintain its County Fund balance at £23.437m, equating </w:t>
      </w:r>
      <w:r w:rsidRPr="00D11D68">
        <w:rPr>
          <w:rFonts w:cs="Arial"/>
        </w:rPr>
        <w:t>to circa 3% of net budget.</w:t>
      </w:r>
      <w:r w:rsidRPr="00D36C8A">
        <w:rPr>
          <w:rFonts w:cs="Arial"/>
        </w:rPr>
        <w:t xml:space="preserve"> </w:t>
      </w:r>
    </w:p>
    <w:p w:rsidR="006D0EDA" w:rsidRPr="00E95F45" w:rsidP="006D0EDA">
      <w:pPr>
        <w:tabs>
          <w:tab w:val="left" w:pos="567"/>
          <w:tab w:val="left" w:pos="1134"/>
        </w:tabs>
        <w:spacing w:after="0"/>
        <w:rPr>
          <w:rFonts w:cs="Arial"/>
          <w:highlight w:val="yellow"/>
        </w:rPr>
      </w:pPr>
    </w:p>
    <w:p w:rsidR="006D0EDA" w:rsidRPr="00D36C8A" w:rsidP="006D0EDA">
      <w:pPr>
        <w:tabs>
          <w:tab w:val="left" w:pos="567"/>
          <w:tab w:val="left" w:pos="1134"/>
        </w:tabs>
        <w:spacing w:after="0"/>
        <w:rPr>
          <w:rFonts w:cs="Arial"/>
        </w:rPr>
      </w:pPr>
      <w:r w:rsidRPr="00D36C8A">
        <w:rPr>
          <w:rFonts w:cs="Arial"/>
        </w:rPr>
        <w:t>The value of the uncommitted transitional reserve is c</w:t>
      </w:r>
      <w:r w:rsidRPr="00D36C8A" w:rsidR="00D36C8A">
        <w:rPr>
          <w:rFonts w:cs="Arial"/>
        </w:rPr>
        <w:t>urrently forecast to be £151.241</w:t>
      </w:r>
      <w:r w:rsidRPr="00D36C8A">
        <w:rPr>
          <w:rFonts w:cs="Arial"/>
        </w:rPr>
        <w:t xml:space="preserve">m by the end of </w:t>
      </w:r>
      <w:r w:rsidRPr="00D11D68">
        <w:rPr>
          <w:rFonts w:cs="Arial"/>
        </w:rPr>
        <w:t>March 2021. This represents an improved positio</w:t>
      </w:r>
      <w:r w:rsidRPr="00D11D68" w:rsidR="00D11D68">
        <w:rPr>
          <w:rFonts w:cs="Arial"/>
        </w:rPr>
        <w:t xml:space="preserve">n </w:t>
      </w:r>
      <w:bookmarkStart w:id="0" w:name="_GoBack"/>
      <w:bookmarkEnd w:id="0"/>
      <w:r w:rsidRPr="00D11D68" w:rsidR="00D11D68">
        <w:rPr>
          <w:rFonts w:cs="Arial"/>
        </w:rPr>
        <w:t xml:space="preserve">of </w:t>
      </w:r>
      <w:r w:rsidRPr="00D11D68" w:rsidR="00D11D68">
        <w:rPr>
          <w:rFonts w:cs="Arial"/>
        </w:rPr>
        <w:t>£0.946m from the £150.295</w:t>
      </w:r>
      <w:r w:rsidRPr="00D11D68">
        <w:rPr>
          <w:rFonts w:cs="Arial"/>
        </w:rPr>
        <w:t xml:space="preserve">m that was previously reported to cabinet in </w:t>
      </w:r>
      <w:r w:rsidRPr="00D11D68" w:rsidR="00D36C8A">
        <w:rPr>
          <w:rFonts w:cs="Arial"/>
        </w:rPr>
        <w:t>September 2020.</w:t>
      </w:r>
    </w:p>
    <w:p w:rsidR="006D0EDA" w:rsidRPr="00E95F45" w:rsidP="006D0EDA">
      <w:pPr>
        <w:tabs>
          <w:tab w:val="left" w:pos="567"/>
          <w:tab w:val="left" w:pos="1134"/>
        </w:tabs>
        <w:spacing w:after="0"/>
        <w:rPr>
          <w:rFonts w:cs="Arial"/>
          <w:highlight w:val="yellow"/>
        </w:rPr>
      </w:pPr>
    </w:p>
    <w:p w:rsidR="006D0EDA" w:rsidRPr="00D36C8A" w:rsidP="006D0EDA">
      <w:pPr>
        <w:spacing w:after="0"/>
        <w:rPr>
          <w:rFonts w:cs="Arial"/>
        </w:rPr>
      </w:pPr>
      <w:r w:rsidRPr="00D36C8A">
        <w:rPr>
          <w:rFonts w:cs="Arial"/>
        </w:rPr>
        <w:t>The transitional reserve is forecast to be sufficient to meet the identified funding gaps for financial years 2021/22, 2022/23 and partway through 2023/24</w:t>
      </w:r>
      <w:r w:rsidRPr="00D36C8A" w:rsidR="00D36C8A">
        <w:rPr>
          <w:rFonts w:cs="Arial"/>
        </w:rPr>
        <w:t xml:space="preserve"> </w:t>
      </w:r>
      <w:r w:rsidRPr="00D36C8A">
        <w:rPr>
          <w:rFonts w:cs="Arial"/>
        </w:rPr>
        <w:t xml:space="preserve">as set out in table 8 below. </w:t>
      </w:r>
    </w:p>
    <w:p w:rsidR="006D0EDA" w:rsidRPr="00D36C8A" w:rsidP="006D0EDA">
      <w:pPr>
        <w:spacing w:after="0"/>
        <w:rPr>
          <w:rFonts w:cs="Arial"/>
        </w:rPr>
      </w:pPr>
    </w:p>
    <w:p w:rsidR="006D0EDA" w:rsidRPr="00D36C8A" w:rsidP="006D0EDA">
      <w:pPr>
        <w:tabs>
          <w:tab w:val="left" w:pos="567"/>
          <w:tab w:val="left" w:pos="1134"/>
        </w:tabs>
        <w:spacing w:after="0"/>
        <w:rPr>
          <w:rFonts w:cs="Arial"/>
          <w:b/>
          <w:i/>
          <w:u w:val="single"/>
        </w:rPr>
      </w:pPr>
      <w:r w:rsidRPr="00D36C8A">
        <w:rPr>
          <w:rFonts w:cs="Arial"/>
          <w:b/>
          <w:i/>
          <w:u w:val="single"/>
        </w:rPr>
        <w:t>Table 8</w:t>
      </w:r>
    </w:p>
    <w:p w:rsidR="006D0EDA" w:rsidRPr="00E95F45" w:rsidP="006D0EDA">
      <w:pPr>
        <w:tabs>
          <w:tab w:val="left" w:pos="567"/>
          <w:tab w:val="left" w:pos="1134"/>
        </w:tabs>
        <w:spacing w:after="0"/>
        <w:rPr>
          <w:rFonts w:cs="Arial"/>
          <w:highlight w:val="yellow"/>
        </w:rPr>
      </w:pPr>
    </w:p>
    <w:tbl>
      <w:tblPr>
        <w:tblW w:w="9062" w:type="dxa"/>
        <w:tblLook w:val="04A0"/>
      </w:tblPr>
      <w:tblGrid>
        <w:gridCol w:w="4526"/>
        <w:gridCol w:w="1512"/>
        <w:gridCol w:w="1512"/>
        <w:gridCol w:w="1512"/>
      </w:tblGrid>
      <w:tr w:rsidTr="00D36C8A">
        <w:tblPrEx>
          <w:tblW w:w="9062" w:type="dxa"/>
          <w:tblLook w:val="04A0"/>
        </w:tblPrEx>
        <w:trPr>
          <w:trHeight w:val="330"/>
        </w:trPr>
        <w:tc>
          <w:tcPr>
            <w:tcW w:w="4526"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36C8A" w:rsidRPr="00D36C8A" w:rsidP="00D36C8A">
            <w:pPr>
              <w:autoSpaceDE/>
              <w:autoSpaceDN/>
              <w:adjustRightInd/>
              <w:spacing w:after="0"/>
              <w:jc w:val="left"/>
              <w:rPr>
                <w:rFonts w:eastAsia="Times New Roman" w:cs="Arial"/>
                <w:b/>
                <w:bCs/>
                <w:lang w:eastAsia="en-GB"/>
              </w:rPr>
            </w:pPr>
            <w:r w:rsidRPr="00D36C8A">
              <w:rPr>
                <w:rFonts w:eastAsia="Times New Roman" w:cs="Arial"/>
                <w:b/>
                <w:bCs/>
                <w:lang w:eastAsia="en-GB"/>
              </w:rPr>
              <w:t> </w:t>
            </w:r>
          </w:p>
        </w:tc>
        <w:tc>
          <w:tcPr>
            <w:tcW w:w="1512" w:type="dxa"/>
            <w:tcBorders>
              <w:top w:val="single" w:sz="8" w:space="0" w:color="auto"/>
              <w:left w:val="nil"/>
              <w:bottom w:val="single" w:sz="8" w:space="0" w:color="auto"/>
              <w:right w:val="single" w:sz="8" w:space="0" w:color="auto"/>
            </w:tcBorders>
            <w:shd w:val="clear" w:color="000000" w:fill="BFBFBF"/>
            <w:vAlign w:val="center"/>
            <w:hideMark/>
          </w:tcPr>
          <w:p w:rsidR="00D36C8A" w:rsidRPr="00D36C8A" w:rsidP="00D36C8A">
            <w:pPr>
              <w:autoSpaceDE/>
              <w:autoSpaceDN/>
              <w:adjustRightInd/>
              <w:spacing w:after="0"/>
              <w:jc w:val="right"/>
              <w:rPr>
                <w:rFonts w:eastAsia="Times New Roman" w:cs="Arial"/>
                <w:b/>
                <w:bCs/>
                <w:lang w:eastAsia="en-GB"/>
              </w:rPr>
            </w:pPr>
            <w:r w:rsidRPr="00D36C8A">
              <w:rPr>
                <w:rFonts w:eastAsia="Times New Roman" w:cs="Arial"/>
                <w:b/>
                <w:bCs/>
                <w:lang w:eastAsia="en-GB"/>
              </w:rPr>
              <w:t>2021/22</w:t>
            </w:r>
          </w:p>
        </w:tc>
        <w:tc>
          <w:tcPr>
            <w:tcW w:w="1512" w:type="dxa"/>
            <w:tcBorders>
              <w:top w:val="single" w:sz="8" w:space="0" w:color="auto"/>
              <w:left w:val="nil"/>
              <w:bottom w:val="single" w:sz="8" w:space="0" w:color="auto"/>
              <w:right w:val="single" w:sz="8" w:space="0" w:color="auto"/>
            </w:tcBorders>
            <w:shd w:val="clear" w:color="000000" w:fill="BFBFBF"/>
            <w:vAlign w:val="center"/>
            <w:hideMark/>
          </w:tcPr>
          <w:p w:rsidR="00D36C8A" w:rsidRPr="00D36C8A" w:rsidP="00D36C8A">
            <w:pPr>
              <w:autoSpaceDE/>
              <w:autoSpaceDN/>
              <w:adjustRightInd/>
              <w:spacing w:after="0"/>
              <w:jc w:val="right"/>
              <w:rPr>
                <w:rFonts w:eastAsia="Times New Roman" w:cs="Arial"/>
                <w:b/>
                <w:bCs/>
                <w:lang w:eastAsia="en-GB"/>
              </w:rPr>
            </w:pPr>
            <w:r w:rsidRPr="00D36C8A">
              <w:rPr>
                <w:rFonts w:eastAsia="Times New Roman" w:cs="Arial"/>
                <w:b/>
                <w:bCs/>
                <w:lang w:eastAsia="en-GB"/>
              </w:rPr>
              <w:t>2022/23</w:t>
            </w:r>
          </w:p>
        </w:tc>
        <w:tc>
          <w:tcPr>
            <w:tcW w:w="1512" w:type="dxa"/>
            <w:tcBorders>
              <w:top w:val="single" w:sz="8" w:space="0" w:color="auto"/>
              <w:left w:val="nil"/>
              <w:bottom w:val="single" w:sz="8" w:space="0" w:color="auto"/>
              <w:right w:val="single" w:sz="8" w:space="0" w:color="auto"/>
            </w:tcBorders>
            <w:shd w:val="clear" w:color="000000" w:fill="BFBFBF"/>
            <w:vAlign w:val="center"/>
            <w:hideMark/>
          </w:tcPr>
          <w:p w:rsidR="00D36C8A" w:rsidRPr="00D36C8A" w:rsidP="00D36C8A">
            <w:pPr>
              <w:autoSpaceDE/>
              <w:autoSpaceDN/>
              <w:adjustRightInd/>
              <w:spacing w:after="0"/>
              <w:jc w:val="right"/>
              <w:rPr>
                <w:rFonts w:eastAsia="Times New Roman" w:cs="Arial"/>
                <w:b/>
                <w:bCs/>
                <w:lang w:eastAsia="en-GB"/>
              </w:rPr>
            </w:pPr>
            <w:r w:rsidRPr="00D36C8A">
              <w:rPr>
                <w:rFonts w:eastAsia="Times New Roman" w:cs="Arial"/>
                <w:b/>
                <w:bCs/>
                <w:lang w:eastAsia="en-GB"/>
              </w:rPr>
              <w:t>2023/24</w:t>
            </w:r>
          </w:p>
        </w:tc>
      </w:tr>
      <w:tr w:rsidTr="00D36C8A">
        <w:tblPrEx>
          <w:tblW w:w="9062" w:type="dxa"/>
          <w:tblLook w:val="04A0"/>
        </w:tblPrEx>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left"/>
              <w:rPr>
                <w:rFonts w:eastAsia="Times New Roman" w:cs="Arial"/>
                <w:b/>
                <w:bCs/>
                <w:lang w:eastAsia="en-GB"/>
              </w:rPr>
            </w:pPr>
            <w:r w:rsidRPr="00D36C8A">
              <w:rPr>
                <w:rFonts w:eastAsia="Times New Roman" w:cs="Arial"/>
                <w:b/>
                <w:bCs/>
                <w:lang w:eastAsia="en-GB"/>
              </w:rPr>
              <w:t>Opening Balance</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right"/>
              <w:rPr>
                <w:rFonts w:eastAsia="Times New Roman" w:cs="Arial"/>
                <w:lang w:eastAsia="en-GB"/>
              </w:rPr>
            </w:pPr>
            <w:r w:rsidRPr="00D36C8A">
              <w:rPr>
                <w:rFonts w:eastAsia="Times New Roman" w:cs="Arial"/>
                <w:lang w:eastAsia="en-GB"/>
              </w:rPr>
              <w:t>151.241</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9C7E51">
            <w:pPr>
              <w:autoSpaceDE/>
              <w:autoSpaceDN/>
              <w:adjustRightInd/>
              <w:spacing w:after="0"/>
              <w:jc w:val="right"/>
              <w:rPr>
                <w:rFonts w:eastAsia="Times New Roman" w:cs="Arial"/>
                <w:lang w:eastAsia="en-GB"/>
              </w:rPr>
            </w:pPr>
            <w:r w:rsidRPr="00D36C8A">
              <w:rPr>
                <w:rFonts w:eastAsia="Times New Roman" w:cs="Arial"/>
                <w:lang w:eastAsia="en-GB"/>
              </w:rPr>
              <w:t>100.3</w:t>
            </w:r>
            <w:r w:rsidR="009C7E51">
              <w:rPr>
                <w:rFonts w:eastAsia="Times New Roman" w:cs="Arial"/>
                <w:lang w:eastAsia="en-GB"/>
              </w:rPr>
              <w:t>79</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9C7E51">
            <w:pPr>
              <w:autoSpaceDE/>
              <w:autoSpaceDN/>
              <w:adjustRightInd/>
              <w:spacing w:after="0"/>
              <w:jc w:val="right"/>
              <w:rPr>
                <w:rFonts w:eastAsia="Times New Roman" w:cs="Arial"/>
                <w:lang w:eastAsia="en-GB"/>
              </w:rPr>
            </w:pPr>
            <w:r w:rsidRPr="00D36C8A">
              <w:rPr>
                <w:rFonts w:eastAsia="Times New Roman" w:cs="Arial"/>
                <w:lang w:eastAsia="en-GB"/>
              </w:rPr>
              <w:t>36.62</w:t>
            </w:r>
            <w:r w:rsidR="009C7E51">
              <w:rPr>
                <w:rFonts w:eastAsia="Times New Roman" w:cs="Arial"/>
                <w:lang w:eastAsia="en-GB"/>
              </w:rPr>
              <w:t>4</w:t>
            </w:r>
          </w:p>
        </w:tc>
      </w:tr>
      <w:tr w:rsidTr="00D36C8A">
        <w:tblPrEx>
          <w:tblW w:w="9062" w:type="dxa"/>
          <w:tblLook w:val="04A0"/>
        </w:tblPrEx>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left"/>
              <w:rPr>
                <w:rFonts w:eastAsia="Times New Roman" w:cs="Arial"/>
                <w:b/>
                <w:bCs/>
                <w:lang w:eastAsia="en-GB"/>
              </w:rPr>
            </w:pPr>
            <w:r w:rsidRPr="00D36C8A">
              <w:rPr>
                <w:rFonts w:eastAsia="Times New Roman" w:cs="Arial"/>
                <w:b/>
                <w:bCs/>
                <w:lang w:eastAsia="en-GB"/>
              </w:rPr>
              <w:t>Gap funding</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right"/>
              <w:rPr>
                <w:rFonts w:eastAsia="Times New Roman" w:cs="Arial"/>
                <w:lang w:eastAsia="en-GB"/>
              </w:rPr>
            </w:pPr>
            <w:r w:rsidRPr="00D36C8A">
              <w:rPr>
                <w:rFonts w:eastAsia="Times New Roman" w:cs="Arial"/>
                <w:lang w:eastAsia="en-GB"/>
              </w:rPr>
              <w:t>50.368</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right"/>
              <w:rPr>
                <w:rFonts w:eastAsia="Times New Roman" w:cs="Arial"/>
                <w:lang w:eastAsia="en-GB"/>
              </w:rPr>
            </w:pPr>
            <w:r w:rsidRPr="00D36C8A">
              <w:rPr>
                <w:rFonts w:eastAsia="Times New Roman" w:cs="Arial"/>
                <w:lang w:eastAsia="en-GB"/>
              </w:rPr>
              <w:t>63.554</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A5032E">
            <w:pPr>
              <w:autoSpaceDE/>
              <w:autoSpaceDN/>
              <w:adjustRightInd/>
              <w:spacing w:after="0"/>
              <w:jc w:val="right"/>
              <w:rPr>
                <w:rFonts w:eastAsia="Times New Roman" w:cs="Arial"/>
                <w:lang w:eastAsia="en-GB"/>
              </w:rPr>
            </w:pPr>
            <w:r w:rsidRPr="00D36C8A">
              <w:rPr>
                <w:rFonts w:eastAsia="Times New Roman" w:cs="Arial"/>
                <w:lang w:eastAsia="en-GB"/>
              </w:rPr>
              <w:t>78.79</w:t>
            </w:r>
            <w:r w:rsidR="00A5032E">
              <w:rPr>
                <w:rFonts w:eastAsia="Times New Roman" w:cs="Arial"/>
                <w:lang w:eastAsia="en-GB"/>
              </w:rPr>
              <w:t>1</w:t>
            </w:r>
          </w:p>
        </w:tc>
      </w:tr>
      <w:tr w:rsidTr="00D36C8A">
        <w:tblPrEx>
          <w:tblW w:w="9062" w:type="dxa"/>
          <w:tblLook w:val="04A0"/>
        </w:tblPrEx>
        <w:trPr>
          <w:trHeight w:val="330"/>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left"/>
              <w:rPr>
                <w:rFonts w:eastAsia="Times New Roman" w:cs="Arial"/>
                <w:b/>
                <w:bCs/>
                <w:lang w:eastAsia="en-GB"/>
              </w:rPr>
            </w:pPr>
            <w:r w:rsidRPr="00D36C8A">
              <w:rPr>
                <w:rFonts w:eastAsia="Times New Roman" w:cs="Arial"/>
                <w:b/>
                <w:bCs/>
                <w:lang w:eastAsia="en-GB"/>
              </w:rPr>
              <w:t>Commitments</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right"/>
              <w:rPr>
                <w:rFonts w:eastAsia="Times New Roman" w:cs="Arial"/>
                <w:lang w:eastAsia="en-GB"/>
              </w:rPr>
            </w:pPr>
            <w:r w:rsidRPr="00D36C8A">
              <w:rPr>
                <w:rFonts w:eastAsia="Times New Roman" w:cs="Arial"/>
                <w:lang w:eastAsia="en-GB"/>
              </w:rPr>
              <w:t>0.494</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right"/>
              <w:rPr>
                <w:rFonts w:eastAsia="Times New Roman" w:cs="Arial"/>
                <w:lang w:eastAsia="en-GB"/>
              </w:rPr>
            </w:pPr>
            <w:r w:rsidRPr="00D36C8A">
              <w:rPr>
                <w:rFonts w:eastAsia="Times New Roman" w:cs="Arial"/>
                <w:lang w:eastAsia="en-GB"/>
              </w:rPr>
              <w:t>0.201</w:t>
            </w:r>
          </w:p>
        </w:tc>
        <w:tc>
          <w:tcPr>
            <w:tcW w:w="1512" w:type="dxa"/>
            <w:tcBorders>
              <w:top w:val="nil"/>
              <w:left w:val="nil"/>
              <w:bottom w:val="single" w:sz="8" w:space="0" w:color="auto"/>
              <w:right w:val="single" w:sz="8" w:space="0" w:color="auto"/>
            </w:tcBorders>
            <w:shd w:val="clear" w:color="auto" w:fill="auto"/>
            <w:vAlign w:val="center"/>
            <w:hideMark/>
          </w:tcPr>
          <w:p w:rsidR="00D36C8A" w:rsidRPr="00D36C8A" w:rsidP="00D36C8A">
            <w:pPr>
              <w:autoSpaceDE/>
              <w:autoSpaceDN/>
              <w:adjustRightInd/>
              <w:spacing w:after="0"/>
              <w:jc w:val="right"/>
              <w:rPr>
                <w:rFonts w:eastAsia="Times New Roman" w:cs="Arial"/>
                <w:lang w:eastAsia="en-GB"/>
              </w:rPr>
            </w:pPr>
            <w:r w:rsidRPr="00D36C8A">
              <w:rPr>
                <w:rFonts w:eastAsia="Times New Roman" w:cs="Arial"/>
                <w:lang w:eastAsia="en-GB"/>
              </w:rPr>
              <w:t>0.000</w:t>
            </w:r>
          </w:p>
        </w:tc>
      </w:tr>
      <w:tr w:rsidTr="00D36C8A">
        <w:tblPrEx>
          <w:tblW w:w="9062" w:type="dxa"/>
          <w:tblLook w:val="04A0"/>
        </w:tblPrEx>
        <w:trPr>
          <w:trHeight w:val="330"/>
        </w:trPr>
        <w:tc>
          <w:tcPr>
            <w:tcW w:w="4526" w:type="dxa"/>
            <w:tcBorders>
              <w:top w:val="nil"/>
              <w:left w:val="single" w:sz="8" w:space="0" w:color="auto"/>
              <w:bottom w:val="single" w:sz="8" w:space="0" w:color="auto"/>
              <w:right w:val="single" w:sz="8" w:space="0" w:color="auto"/>
            </w:tcBorders>
            <w:shd w:val="clear" w:color="000000" w:fill="BFBFBF"/>
            <w:vAlign w:val="center"/>
            <w:hideMark/>
          </w:tcPr>
          <w:p w:rsidR="00D36C8A" w:rsidRPr="00D36C8A" w:rsidP="00D36C8A">
            <w:pPr>
              <w:autoSpaceDE/>
              <w:autoSpaceDN/>
              <w:adjustRightInd/>
              <w:spacing w:after="0"/>
              <w:jc w:val="left"/>
              <w:rPr>
                <w:rFonts w:eastAsia="Times New Roman" w:cs="Arial"/>
                <w:b/>
                <w:bCs/>
                <w:lang w:eastAsia="en-GB"/>
              </w:rPr>
            </w:pPr>
            <w:r w:rsidRPr="00D36C8A">
              <w:rPr>
                <w:rFonts w:eastAsia="Times New Roman" w:cs="Arial"/>
                <w:b/>
                <w:bCs/>
                <w:lang w:eastAsia="en-GB"/>
              </w:rPr>
              <w:t>Closing balance</w:t>
            </w:r>
          </w:p>
        </w:tc>
        <w:tc>
          <w:tcPr>
            <w:tcW w:w="1512" w:type="dxa"/>
            <w:tcBorders>
              <w:top w:val="nil"/>
              <w:left w:val="nil"/>
              <w:bottom w:val="single" w:sz="8" w:space="0" w:color="auto"/>
              <w:right w:val="single" w:sz="8" w:space="0" w:color="auto"/>
            </w:tcBorders>
            <w:shd w:val="clear" w:color="000000" w:fill="BFBFBF"/>
            <w:vAlign w:val="center"/>
            <w:hideMark/>
          </w:tcPr>
          <w:p w:rsidR="00D36C8A" w:rsidRPr="00D36C8A" w:rsidP="00D36C8A">
            <w:pPr>
              <w:autoSpaceDE/>
              <w:autoSpaceDN/>
              <w:adjustRightInd/>
              <w:spacing w:after="0"/>
              <w:jc w:val="right"/>
              <w:rPr>
                <w:rFonts w:eastAsia="Times New Roman" w:cs="Arial"/>
                <w:b/>
                <w:bCs/>
                <w:lang w:eastAsia="en-GB"/>
              </w:rPr>
            </w:pPr>
            <w:r>
              <w:rPr>
                <w:rFonts w:eastAsia="Times New Roman" w:cs="Arial"/>
                <w:b/>
                <w:bCs/>
                <w:lang w:eastAsia="en-GB"/>
              </w:rPr>
              <w:t>100.379</w:t>
            </w:r>
          </w:p>
        </w:tc>
        <w:tc>
          <w:tcPr>
            <w:tcW w:w="1512" w:type="dxa"/>
            <w:tcBorders>
              <w:top w:val="nil"/>
              <w:left w:val="nil"/>
              <w:bottom w:val="single" w:sz="8" w:space="0" w:color="auto"/>
              <w:right w:val="single" w:sz="8" w:space="0" w:color="auto"/>
            </w:tcBorders>
            <w:shd w:val="clear" w:color="000000" w:fill="BFBFBF"/>
            <w:vAlign w:val="center"/>
            <w:hideMark/>
          </w:tcPr>
          <w:p w:rsidR="00D36C8A" w:rsidRPr="00D36C8A" w:rsidP="009C7E51">
            <w:pPr>
              <w:autoSpaceDE/>
              <w:autoSpaceDN/>
              <w:adjustRightInd/>
              <w:spacing w:after="0"/>
              <w:jc w:val="right"/>
              <w:rPr>
                <w:rFonts w:eastAsia="Times New Roman" w:cs="Arial"/>
                <w:b/>
                <w:bCs/>
                <w:lang w:eastAsia="en-GB"/>
              </w:rPr>
            </w:pPr>
            <w:r w:rsidRPr="00D36C8A">
              <w:rPr>
                <w:rFonts w:eastAsia="Times New Roman" w:cs="Arial"/>
                <w:b/>
                <w:bCs/>
                <w:lang w:eastAsia="en-GB"/>
              </w:rPr>
              <w:t>36.62</w:t>
            </w:r>
            <w:r w:rsidR="009C7E51">
              <w:rPr>
                <w:rFonts w:eastAsia="Times New Roman" w:cs="Arial"/>
                <w:b/>
                <w:bCs/>
                <w:lang w:eastAsia="en-GB"/>
              </w:rPr>
              <w:t>4</w:t>
            </w:r>
          </w:p>
        </w:tc>
        <w:tc>
          <w:tcPr>
            <w:tcW w:w="1512" w:type="dxa"/>
            <w:tcBorders>
              <w:top w:val="nil"/>
              <w:left w:val="nil"/>
              <w:bottom w:val="single" w:sz="8" w:space="0" w:color="auto"/>
              <w:right w:val="single" w:sz="8" w:space="0" w:color="auto"/>
            </w:tcBorders>
            <w:shd w:val="clear" w:color="000000" w:fill="BFBFBF"/>
            <w:vAlign w:val="center"/>
            <w:hideMark/>
          </w:tcPr>
          <w:p w:rsidR="00D36C8A" w:rsidRPr="00D36C8A" w:rsidP="009C7E51">
            <w:pPr>
              <w:autoSpaceDE/>
              <w:autoSpaceDN/>
              <w:adjustRightInd/>
              <w:spacing w:after="0"/>
              <w:jc w:val="right"/>
              <w:rPr>
                <w:rFonts w:eastAsia="Times New Roman" w:cs="Arial"/>
                <w:b/>
                <w:bCs/>
                <w:lang w:eastAsia="en-GB"/>
              </w:rPr>
            </w:pPr>
            <w:r w:rsidRPr="00D36C8A">
              <w:rPr>
                <w:rFonts w:eastAsia="Times New Roman" w:cs="Arial"/>
                <w:b/>
                <w:bCs/>
                <w:lang w:eastAsia="en-GB"/>
              </w:rPr>
              <w:t>-42.16</w:t>
            </w:r>
            <w:r w:rsidR="00A5032E">
              <w:rPr>
                <w:rFonts w:eastAsia="Times New Roman" w:cs="Arial"/>
                <w:b/>
                <w:bCs/>
                <w:lang w:eastAsia="en-GB"/>
              </w:rPr>
              <w:t>7</w:t>
            </w:r>
          </w:p>
        </w:tc>
      </w:tr>
    </w:tbl>
    <w:p w:rsidR="006D0EDA" w:rsidRPr="0093062D" w:rsidP="006D0EDA">
      <w:pPr>
        <w:tabs>
          <w:tab w:val="left" w:pos="567"/>
          <w:tab w:val="left" w:pos="1134"/>
        </w:tabs>
        <w:spacing w:after="0"/>
        <w:rPr>
          <w:rFonts w:cs="Arial"/>
        </w:rPr>
      </w:pPr>
    </w:p>
    <w:p w:rsidR="006D0EDA" w:rsidRPr="0093062D" w:rsidP="006D0EDA">
      <w:pPr>
        <w:tabs>
          <w:tab w:val="left" w:pos="567"/>
          <w:tab w:val="left" w:pos="1134"/>
        </w:tabs>
        <w:spacing w:after="0"/>
        <w:rPr>
          <w:rFonts w:cs="Arial"/>
          <w:b/>
        </w:rPr>
      </w:pPr>
      <w:r w:rsidRPr="0093062D">
        <w:rPr>
          <w:rFonts w:cs="Arial"/>
          <w:b/>
        </w:rPr>
        <w:t>5. Future risks and opportunities</w:t>
      </w:r>
    </w:p>
    <w:p w:rsidR="006D0EDA" w:rsidRPr="0093062D" w:rsidP="006D0EDA">
      <w:pPr>
        <w:tabs>
          <w:tab w:val="left" w:pos="567"/>
          <w:tab w:val="left" w:pos="1134"/>
        </w:tabs>
        <w:spacing w:after="0"/>
        <w:rPr>
          <w:rFonts w:cs="Arial"/>
        </w:rPr>
      </w:pPr>
    </w:p>
    <w:p w:rsidR="006D0EDA" w:rsidRPr="0093062D" w:rsidP="006D0EDA">
      <w:pPr>
        <w:tabs>
          <w:tab w:val="left" w:pos="567"/>
          <w:tab w:val="left" w:pos="1134"/>
        </w:tabs>
        <w:spacing w:after="0"/>
        <w:rPr>
          <w:rFonts w:cs="Arial"/>
        </w:rPr>
      </w:pPr>
      <w:r w:rsidRPr="0093062D">
        <w:rPr>
          <w:rFonts w:cs="Arial"/>
        </w:rPr>
        <w:t>The following are key future risks, the full impact of which is not known at this stage:</w:t>
      </w:r>
    </w:p>
    <w:p w:rsidR="006D0EDA" w:rsidRPr="00E95F45" w:rsidP="006D0EDA">
      <w:pPr>
        <w:tabs>
          <w:tab w:val="left" w:pos="567"/>
          <w:tab w:val="left" w:pos="1134"/>
        </w:tabs>
        <w:spacing w:after="0"/>
        <w:rPr>
          <w:rFonts w:cs="Arial"/>
          <w:highlight w:val="yellow"/>
        </w:rPr>
      </w:pPr>
    </w:p>
    <w:p w:rsidR="006D0EDA" w:rsidRPr="0093062D" w:rsidP="006D0EDA">
      <w:pPr>
        <w:tabs>
          <w:tab w:val="left" w:pos="567"/>
          <w:tab w:val="left" w:pos="1134"/>
        </w:tabs>
        <w:spacing w:after="0"/>
        <w:rPr>
          <w:rFonts w:cs="Arial"/>
          <w:b/>
        </w:rPr>
      </w:pPr>
      <w:r w:rsidRPr="0093062D">
        <w:rPr>
          <w:rFonts w:cs="Arial"/>
          <w:b/>
        </w:rPr>
        <w:t>5.1 The financial impacts of the ongoing Covid-19 response</w:t>
      </w:r>
    </w:p>
    <w:p w:rsidR="006D0EDA" w:rsidRPr="0093062D" w:rsidP="006D0EDA">
      <w:pPr>
        <w:tabs>
          <w:tab w:val="left" w:pos="567"/>
          <w:tab w:val="left" w:pos="1134"/>
        </w:tabs>
        <w:spacing w:after="0"/>
        <w:rPr>
          <w:rFonts w:cs="Arial"/>
        </w:rPr>
      </w:pPr>
      <w:r w:rsidRPr="0093062D">
        <w:rPr>
          <w:rFonts w:cs="Arial"/>
        </w:rPr>
        <w:t>The longer term financial impacts of the response to the pandemic remain unclear. A protracted recovery period or a subsequent spike are likely to lead to further financial pressures to the authority.</w:t>
      </w:r>
    </w:p>
    <w:p w:rsidR="006D0EDA" w:rsidRPr="00E95F45" w:rsidP="006D0EDA">
      <w:pPr>
        <w:tabs>
          <w:tab w:val="left" w:pos="567"/>
          <w:tab w:val="left" w:pos="1134"/>
        </w:tabs>
        <w:spacing w:after="0"/>
        <w:rPr>
          <w:rFonts w:cs="Arial"/>
          <w:highlight w:val="yellow"/>
        </w:rPr>
      </w:pPr>
    </w:p>
    <w:p w:rsidR="006D0EDA" w:rsidRPr="0093062D" w:rsidP="006D0EDA">
      <w:pPr>
        <w:tabs>
          <w:tab w:val="left" w:pos="567"/>
          <w:tab w:val="left" w:pos="1134"/>
        </w:tabs>
        <w:spacing w:after="0"/>
        <w:rPr>
          <w:rFonts w:cs="Arial"/>
        </w:rPr>
      </w:pPr>
      <w:r w:rsidRPr="0093062D">
        <w:rPr>
          <w:rFonts w:cs="Arial"/>
        </w:rPr>
        <w:t>The ongoing impacts and revision to service delivery and to service user demand for service and the way it is delivered post pandemic could lead to volatility of pressure on the budget.</w:t>
      </w:r>
    </w:p>
    <w:p w:rsidR="006D0EDA" w:rsidRPr="00E95F45" w:rsidP="006D0EDA">
      <w:pPr>
        <w:tabs>
          <w:tab w:val="left" w:pos="567"/>
          <w:tab w:val="left" w:pos="1134"/>
        </w:tabs>
        <w:spacing w:after="0"/>
        <w:rPr>
          <w:rFonts w:cs="Arial"/>
          <w:highlight w:val="yellow"/>
        </w:rPr>
      </w:pPr>
    </w:p>
    <w:p w:rsidR="006D0EDA" w:rsidRPr="0093062D" w:rsidP="006D0EDA">
      <w:pPr>
        <w:tabs>
          <w:tab w:val="left" w:pos="567"/>
          <w:tab w:val="left" w:pos="1134"/>
        </w:tabs>
        <w:spacing w:after="0"/>
        <w:rPr>
          <w:rFonts w:cs="Arial"/>
        </w:rPr>
      </w:pPr>
      <w:r w:rsidRPr="0093062D">
        <w:rPr>
          <w:rFonts w:cs="Arial"/>
        </w:rPr>
        <w:t xml:space="preserve">We are assessing the ongoing need for additional and ceased services in response to the situation and will evaluate the revised budget requirement as a result.  </w:t>
      </w:r>
    </w:p>
    <w:p w:rsidR="006D0EDA" w:rsidRPr="00E95F45" w:rsidP="006D0EDA">
      <w:pPr>
        <w:tabs>
          <w:tab w:val="left" w:pos="567"/>
          <w:tab w:val="left" w:pos="1134"/>
        </w:tabs>
        <w:spacing w:after="0"/>
        <w:rPr>
          <w:rFonts w:cs="Arial"/>
          <w:highlight w:val="yellow"/>
        </w:rPr>
      </w:pPr>
    </w:p>
    <w:p w:rsidR="006D0EDA" w:rsidP="006D0EDA">
      <w:pPr>
        <w:tabs>
          <w:tab w:val="left" w:pos="567"/>
          <w:tab w:val="left" w:pos="1134"/>
        </w:tabs>
        <w:spacing w:after="0"/>
        <w:rPr>
          <w:rFonts w:cs="Arial"/>
        </w:rPr>
      </w:pPr>
      <w:r w:rsidRPr="0093062D">
        <w:rPr>
          <w:rFonts w:cs="Arial"/>
        </w:rPr>
        <w:t xml:space="preserve">Following the announcement that the </w:t>
      </w:r>
      <w:r w:rsidR="0093494E">
        <w:rPr>
          <w:rFonts w:cs="Arial"/>
        </w:rPr>
        <w:t xml:space="preserve">multi-year </w:t>
      </w:r>
      <w:r w:rsidRPr="0093062D">
        <w:rPr>
          <w:rFonts w:cs="Arial"/>
        </w:rPr>
        <w:t xml:space="preserve">spending review that was planned for </w:t>
      </w:r>
      <w:r w:rsidRPr="0093062D" w:rsidR="003C12EA">
        <w:rPr>
          <w:rFonts w:cs="Arial"/>
        </w:rPr>
        <w:t xml:space="preserve">the autumn </w:t>
      </w:r>
      <w:r w:rsidRPr="0093062D">
        <w:rPr>
          <w:rFonts w:cs="Arial"/>
        </w:rPr>
        <w:t xml:space="preserve">has been </w:t>
      </w:r>
      <w:r w:rsidR="0093494E">
        <w:rPr>
          <w:rFonts w:cs="Arial"/>
        </w:rPr>
        <w:t xml:space="preserve">replaced by a one year spending review </w:t>
      </w:r>
      <w:r w:rsidRPr="0093062D" w:rsidR="0093494E">
        <w:rPr>
          <w:rFonts w:cs="Arial"/>
        </w:rPr>
        <w:t>there</w:t>
      </w:r>
      <w:r w:rsidRPr="0093062D">
        <w:rPr>
          <w:rFonts w:cs="Arial"/>
        </w:rPr>
        <w:t xml:space="preserve"> is continued uncertainty about the future funding envelope and significant assumptions have to be made as part of the development of the MTFS. </w:t>
      </w:r>
    </w:p>
    <w:p w:rsidR="006D0EDA" w:rsidRPr="0093062D" w:rsidP="006D0EDA">
      <w:pPr>
        <w:tabs>
          <w:tab w:val="left" w:pos="567"/>
          <w:tab w:val="left" w:pos="1134"/>
        </w:tabs>
        <w:spacing w:after="0"/>
        <w:rPr>
          <w:rFonts w:cs="Arial"/>
        </w:rPr>
      </w:pPr>
    </w:p>
    <w:p w:rsidR="006D0EDA" w:rsidRPr="0093062D" w:rsidP="006D0EDA">
      <w:pPr>
        <w:tabs>
          <w:tab w:val="left" w:pos="567"/>
          <w:tab w:val="left" w:pos="1134"/>
        </w:tabs>
        <w:spacing w:after="0"/>
        <w:rPr>
          <w:rFonts w:cs="Arial"/>
        </w:rPr>
      </w:pPr>
      <w:r w:rsidRPr="0093062D">
        <w:rPr>
          <w:rFonts w:cs="Arial"/>
        </w:rPr>
        <w:t xml:space="preserve">For the purposes of this MTFS we have assumed that there </w:t>
      </w:r>
      <w:r w:rsidR="0093494E">
        <w:rPr>
          <w:rFonts w:cs="Arial"/>
        </w:rPr>
        <w:t>is</w:t>
      </w:r>
      <w:r w:rsidRPr="0093062D">
        <w:rPr>
          <w:rFonts w:cs="Arial"/>
        </w:rPr>
        <w:t xml:space="preserve"> no additional </w:t>
      </w:r>
      <w:r w:rsidR="0093494E">
        <w:rPr>
          <w:rFonts w:cs="Arial"/>
        </w:rPr>
        <w:t>funding to meet any pressures included in</w:t>
      </w:r>
      <w:r w:rsidRPr="0093062D">
        <w:rPr>
          <w:rFonts w:cs="Arial"/>
        </w:rPr>
        <w:t xml:space="preserve"> relation to the virus beyond the current financial year.</w:t>
      </w:r>
    </w:p>
    <w:p w:rsidR="006D0EDA" w:rsidRPr="00E95F45" w:rsidP="006D0EDA">
      <w:pPr>
        <w:tabs>
          <w:tab w:val="left" w:pos="567"/>
          <w:tab w:val="left" w:pos="1134"/>
        </w:tabs>
        <w:spacing w:after="0"/>
        <w:rPr>
          <w:rFonts w:cs="Arial"/>
          <w:highlight w:val="yellow"/>
        </w:rPr>
      </w:pPr>
    </w:p>
    <w:p w:rsidR="006D0EDA" w:rsidRPr="0093062D" w:rsidP="006D0EDA">
      <w:pPr>
        <w:tabs>
          <w:tab w:val="left" w:pos="567"/>
          <w:tab w:val="left" w:pos="1134"/>
        </w:tabs>
        <w:spacing w:after="0"/>
        <w:rPr>
          <w:rFonts w:cs="Arial"/>
          <w:b/>
        </w:rPr>
      </w:pPr>
      <w:r w:rsidRPr="0093062D">
        <w:rPr>
          <w:rFonts w:cs="Arial"/>
          <w:b/>
        </w:rPr>
        <w:t>5.2 Savings delivery</w:t>
      </w:r>
    </w:p>
    <w:p w:rsidR="006D0EDA" w:rsidRPr="00E95F45" w:rsidP="006D0EDA">
      <w:pPr>
        <w:spacing w:after="0"/>
        <w:rPr>
          <w:rFonts w:cs="Arial"/>
          <w:highlight w:val="yellow"/>
        </w:rPr>
      </w:pPr>
      <w:r w:rsidRPr="0093062D">
        <w:rPr>
          <w:rFonts w:cs="Arial"/>
        </w:rPr>
        <w:t xml:space="preserve">The scale of savings agreed to be delivered over future financial years </w:t>
      </w:r>
      <w:r w:rsidR="00567BB2">
        <w:rPr>
          <w:rFonts w:cs="Arial"/>
        </w:rPr>
        <w:t>remains significant with £25.099</w:t>
      </w:r>
      <w:r w:rsidRPr="0093062D">
        <w:rPr>
          <w:rFonts w:cs="Arial"/>
        </w:rPr>
        <w:t xml:space="preserve">m currently forecast to be delayed in 2020/21 as a result of </w:t>
      </w:r>
      <w:r w:rsidRPr="00567BB2">
        <w:rPr>
          <w:rFonts w:cs="Arial"/>
        </w:rPr>
        <w:t xml:space="preserve">refocussing officer priorities to the response to the current pandemic. In addition there are forecast savings of £13.430m to be delivered over financial years 2021/22 – 2022/23. </w:t>
      </w:r>
    </w:p>
    <w:p w:rsidR="006D0EDA" w:rsidRPr="00E95F45" w:rsidP="006D0EDA">
      <w:pPr>
        <w:spacing w:after="0"/>
        <w:rPr>
          <w:rFonts w:cs="Arial"/>
          <w:highlight w:val="yellow"/>
        </w:rPr>
      </w:pPr>
    </w:p>
    <w:p w:rsidR="006D0EDA" w:rsidRPr="00567BB2" w:rsidP="006D0EDA">
      <w:pPr>
        <w:spacing w:after="0"/>
        <w:rPr>
          <w:rFonts w:cs="Arial"/>
        </w:rPr>
      </w:pPr>
      <w:r w:rsidRPr="00567BB2">
        <w:rPr>
          <w:rFonts w:cs="Arial"/>
        </w:rPr>
        <w:t xml:space="preserve">Should the </w:t>
      </w:r>
      <w:r w:rsidRPr="00567BB2">
        <w:rPr>
          <w:rFonts w:cs="Arial"/>
        </w:rPr>
        <w:t>Covid</w:t>
      </w:r>
      <w:r w:rsidRPr="00567BB2">
        <w:rPr>
          <w:rFonts w:cs="Arial"/>
        </w:rPr>
        <w:t xml:space="preserve"> emergency response continue for </w:t>
      </w:r>
      <w:r w:rsidR="009406FB">
        <w:rPr>
          <w:rFonts w:cs="Arial"/>
        </w:rPr>
        <w:t>a</w:t>
      </w:r>
      <w:r w:rsidRPr="00567BB2">
        <w:rPr>
          <w:rFonts w:cs="Arial"/>
        </w:rPr>
        <w:t xml:space="preserve"> protracted period it is likely that there will be further </w:t>
      </w:r>
      <w:r w:rsidRPr="00567BB2">
        <w:rPr>
          <w:rFonts w:cs="Arial"/>
        </w:rPr>
        <w:t>slippage.</w:t>
      </w:r>
    </w:p>
    <w:p w:rsidR="006D0EDA" w:rsidRPr="00E95F45" w:rsidP="006D0EDA">
      <w:pPr>
        <w:spacing w:after="0"/>
        <w:rPr>
          <w:rFonts w:cs="Arial"/>
          <w:highlight w:val="yellow"/>
        </w:rPr>
      </w:pPr>
    </w:p>
    <w:p w:rsidR="006D0EDA" w:rsidRPr="00567BB2" w:rsidP="006D0EDA">
      <w:pPr>
        <w:spacing w:after="0"/>
        <w:rPr>
          <w:rFonts w:cs="Arial"/>
        </w:rPr>
      </w:pPr>
      <w:r w:rsidRPr="00567BB2">
        <w:rPr>
          <w:rFonts w:cs="Arial"/>
        </w:rPr>
        <w:t>Any significant under-delivery or slippage to delivery timeframes will create an additional funding pressure and impact on the ongoing and longer-term financial health of the council</w:t>
      </w:r>
      <w:r w:rsidR="009406FB">
        <w:rPr>
          <w:rFonts w:cs="Arial"/>
        </w:rPr>
        <w:t xml:space="preserve"> if those costs are not mitigated by the Government providing additional funding in future years.  </w:t>
      </w:r>
      <w:r w:rsidRPr="00567BB2">
        <w:rPr>
          <w:rFonts w:cs="Arial"/>
        </w:rPr>
        <w:t xml:space="preserve">  </w:t>
      </w:r>
    </w:p>
    <w:p w:rsidR="006D0EDA" w:rsidRPr="00567BB2" w:rsidP="006D0EDA">
      <w:pPr>
        <w:spacing w:after="0"/>
        <w:rPr>
          <w:rFonts w:cs="Arial"/>
        </w:rPr>
      </w:pPr>
    </w:p>
    <w:p w:rsidR="006D0EDA" w:rsidRPr="00567BB2" w:rsidP="006D0EDA">
      <w:pPr>
        <w:spacing w:after="0"/>
        <w:rPr>
          <w:rFonts w:cs="Arial"/>
        </w:rPr>
      </w:pPr>
      <w:r w:rsidRPr="00567BB2">
        <w:rPr>
          <w:rFonts w:cs="Arial"/>
        </w:rPr>
        <w:t xml:space="preserve">There are inherent risks in the delivery of any savings programme of this scale, particularly where they are directly linked to reducing the future demand for services. However, there is a strong track record of delivery of the vast majority of previous savings plans and there are comprehensive arrangements in place to track delivery of financial savings and take corrective actions where required. </w:t>
      </w:r>
    </w:p>
    <w:p w:rsidR="006D0EDA" w:rsidRPr="00E95F45" w:rsidP="006D0EDA">
      <w:pPr>
        <w:tabs>
          <w:tab w:val="left" w:pos="567"/>
          <w:tab w:val="left" w:pos="1134"/>
        </w:tabs>
        <w:spacing w:after="0"/>
        <w:rPr>
          <w:rFonts w:cs="Arial"/>
          <w:highlight w:val="yellow"/>
        </w:rPr>
      </w:pPr>
    </w:p>
    <w:p w:rsidR="006D0EDA" w:rsidRPr="00DA0753" w:rsidP="006D0EDA">
      <w:pPr>
        <w:tabs>
          <w:tab w:val="left" w:pos="567"/>
          <w:tab w:val="left" w:pos="1134"/>
        </w:tabs>
        <w:spacing w:after="0"/>
        <w:rPr>
          <w:rFonts w:cs="Arial"/>
          <w:b/>
        </w:rPr>
      </w:pPr>
      <w:r w:rsidRPr="00DA0753">
        <w:rPr>
          <w:rFonts w:cs="Arial"/>
          <w:b/>
        </w:rPr>
        <w:t>5.3 Business rates retention / changes to funding formula</w:t>
      </w:r>
    </w:p>
    <w:p w:rsidR="006D0EDA" w:rsidRPr="00DA0753" w:rsidP="006D0EDA">
      <w:pPr>
        <w:tabs>
          <w:tab w:val="left" w:pos="567"/>
          <w:tab w:val="left" w:pos="1134"/>
        </w:tabs>
        <w:spacing w:after="0"/>
        <w:rPr>
          <w:rFonts w:cs="Arial"/>
        </w:rPr>
      </w:pPr>
      <w:r w:rsidRPr="00DA0753">
        <w:rPr>
          <w:rFonts w:cs="Arial"/>
        </w:rPr>
        <w:t>As previously explained, the future funding arrangements to be established by government pose a risk to the council. New arrangements for business rates, will not be in force before financial year 2022/23</w:t>
      </w:r>
      <w:r w:rsidRPr="00DA0753" w:rsidR="00DA0753">
        <w:rPr>
          <w:rFonts w:cs="Arial"/>
        </w:rPr>
        <w:t>.</w:t>
      </w:r>
    </w:p>
    <w:p w:rsidR="006D0EDA" w:rsidRPr="00E95F45" w:rsidP="006D0EDA">
      <w:pPr>
        <w:tabs>
          <w:tab w:val="left" w:pos="567"/>
          <w:tab w:val="left" w:pos="1134"/>
        </w:tabs>
        <w:spacing w:after="0"/>
        <w:rPr>
          <w:rFonts w:cs="Arial"/>
          <w:highlight w:val="yellow"/>
        </w:rPr>
      </w:pPr>
    </w:p>
    <w:p w:rsidR="006D0EDA" w:rsidRPr="00E95F45" w:rsidP="006D0EDA">
      <w:pPr>
        <w:tabs>
          <w:tab w:val="left" w:pos="567"/>
          <w:tab w:val="left" w:pos="1134"/>
        </w:tabs>
        <w:spacing w:after="0"/>
        <w:rPr>
          <w:rFonts w:cs="Arial"/>
          <w:highlight w:val="yellow"/>
        </w:rPr>
      </w:pPr>
      <w:r w:rsidRPr="00DA0753">
        <w:rPr>
          <w:rFonts w:cs="Arial"/>
        </w:rPr>
        <w:t xml:space="preserve">As discussed earlier within this report, the changes to the funding formula have been delayed. </w:t>
      </w:r>
      <w:r w:rsidRPr="00DA0753" w:rsidR="003C12EA">
        <w:rPr>
          <w:rFonts w:cs="Arial"/>
        </w:rPr>
        <w:t xml:space="preserve">The outcome from the review may reduce funding below what is assumed in the MTFS. Conversely there is equally an opportunity that additional resources are made available through this process.  The successful outcome of the Lancashire business rates pilot bid in 2019/20 has enabled the county council, districts, </w:t>
      </w:r>
      <w:r w:rsidRPr="00DA0753" w:rsidR="003C12EA">
        <w:rPr>
          <w:rFonts w:cs="Arial"/>
        </w:rPr>
        <w:t>unitaries</w:t>
      </w:r>
      <w:r w:rsidRPr="00DA0753" w:rsidR="003C12EA">
        <w:rPr>
          <w:rFonts w:cs="Arial"/>
        </w:rPr>
        <w:t xml:space="preserve"> and fire authority to be well prepared for the implementation of the business rates retention scheme although the final details are not known at this stage. </w:t>
      </w:r>
    </w:p>
    <w:p w:rsidR="006D0EDA" w:rsidRPr="00E95F45" w:rsidP="006D0EDA">
      <w:pPr>
        <w:tabs>
          <w:tab w:val="left" w:pos="567"/>
          <w:tab w:val="left" w:pos="1134"/>
        </w:tabs>
        <w:spacing w:after="0"/>
        <w:rPr>
          <w:rFonts w:cs="Arial"/>
          <w:highlight w:val="yellow"/>
        </w:rPr>
      </w:pPr>
    </w:p>
    <w:p w:rsidR="006D0EDA" w:rsidRPr="00DA0753" w:rsidP="006D0EDA">
      <w:pPr>
        <w:tabs>
          <w:tab w:val="left" w:pos="567"/>
          <w:tab w:val="left" w:pos="1134"/>
        </w:tabs>
        <w:spacing w:after="0"/>
        <w:rPr>
          <w:rFonts w:cs="Arial"/>
          <w:b/>
        </w:rPr>
      </w:pPr>
      <w:r w:rsidRPr="00DA0753">
        <w:rPr>
          <w:rFonts w:cs="Arial"/>
          <w:b/>
        </w:rPr>
        <w:t>5.4 Children's social care</w:t>
      </w:r>
    </w:p>
    <w:p w:rsidR="006D0EDA" w:rsidRPr="00DA0753" w:rsidP="006D0EDA">
      <w:pPr>
        <w:tabs>
          <w:tab w:val="left" w:pos="567"/>
          <w:tab w:val="left" w:pos="1134"/>
        </w:tabs>
        <w:spacing w:after="0"/>
        <w:rPr>
          <w:rFonts w:cs="Arial"/>
        </w:rPr>
      </w:pPr>
      <w:r w:rsidRPr="00DA0753">
        <w:rPr>
          <w:rFonts w:cs="Arial"/>
        </w:rPr>
        <w:t>Children's social care demand levels are forecast to continue to increase, particularly within agency residential placements, agency fostering placements and also special guardianship orders. The rate of growth is quite volatile, and we will continue to monitor this as part of the monthly monitoring cycle.</w:t>
      </w:r>
    </w:p>
    <w:p w:rsidR="006D0EDA" w:rsidRPr="00E95F45" w:rsidP="006D0EDA">
      <w:pPr>
        <w:tabs>
          <w:tab w:val="left" w:pos="567"/>
          <w:tab w:val="left" w:pos="1134"/>
        </w:tabs>
        <w:spacing w:after="0"/>
        <w:rPr>
          <w:rFonts w:cs="Arial"/>
          <w:highlight w:val="yellow"/>
        </w:rPr>
      </w:pPr>
    </w:p>
    <w:p w:rsidR="006D0EDA" w:rsidRPr="00DA0753" w:rsidP="006D0EDA">
      <w:pPr>
        <w:spacing w:after="0"/>
        <w:rPr>
          <w:rFonts w:cs="Arial"/>
        </w:rPr>
      </w:pPr>
      <w:r w:rsidRPr="00DA0753">
        <w:rPr>
          <w:rFonts w:cs="Arial"/>
        </w:rPr>
        <w:t xml:space="preserve">The service has been looking at best practice sites across the country to explore opportunities to reduce demand in a way that delivers better outcomes for children, We are working on adopting the Lancashire family safeguarding model in the current financial year, which will drive better outcomes for children, by focussing on early family based support, whilst also forecasting the delivery a saving of c£12m per annum when the practice is fully embedded across the county. </w:t>
      </w:r>
    </w:p>
    <w:p w:rsidR="006D0EDA" w:rsidRPr="00E95F45" w:rsidP="006D0EDA">
      <w:pPr>
        <w:tabs>
          <w:tab w:val="left" w:pos="567"/>
          <w:tab w:val="left" w:pos="1134"/>
        </w:tabs>
        <w:spacing w:after="0"/>
        <w:rPr>
          <w:rFonts w:cs="Arial"/>
          <w:highlight w:val="yellow"/>
        </w:rPr>
      </w:pPr>
    </w:p>
    <w:p w:rsidR="006D0EDA" w:rsidRPr="00DA0753" w:rsidP="006D0EDA">
      <w:pPr>
        <w:tabs>
          <w:tab w:val="left" w:pos="567"/>
          <w:tab w:val="left" w:pos="1134"/>
        </w:tabs>
        <w:spacing w:after="0"/>
        <w:rPr>
          <w:rFonts w:cs="Arial"/>
        </w:rPr>
      </w:pPr>
      <w:r w:rsidRPr="00DA0753">
        <w:rPr>
          <w:rFonts w:cs="Arial"/>
        </w:rPr>
        <w:t xml:space="preserve">In addition, the MTFS contains assumptions across services for funding growth, demand, inflation and pay levels. The table below shows the impact of and increase or decrease of 1% over these key elements of the projected budget requirement. </w:t>
      </w:r>
    </w:p>
    <w:p w:rsidR="006D0EDA" w:rsidP="006D0EDA">
      <w:pPr>
        <w:tabs>
          <w:tab w:val="left" w:pos="567"/>
          <w:tab w:val="left" w:pos="1134"/>
        </w:tabs>
        <w:spacing w:after="0"/>
        <w:ind w:left="142"/>
        <w:rPr>
          <w:rFonts w:cs="Arial"/>
        </w:rPr>
      </w:pPr>
    </w:p>
    <w:p w:rsidR="0013443E" w:rsidRPr="00DA0753" w:rsidP="006D0EDA">
      <w:pPr>
        <w:tabs>
          <w:tab w:val="left" w:pos="567"/>
          <w:tab w:val="left" w:pos="1134"/>
        </w:tabs>
        <w:spacing w:after="0"/>
        <w:ind w:left="142"/>
        <w:rPr>
          <w:rFonts w:cs="Arial"/>
        </w:rPr>
      </w:pPr>
    </w:p>
    <w:tbl>
      <w:tblPr>
        <w:tblStyle w:val="TableGrid11"/>
        <w:tblW w:w="0" w:type="auto"/>
        <w:tblLook w:val="04A0"/>
      </w:tblPr>
      <w:tblGrid>
        <w:gridCol w:w="5948"/>
        <w:gridCol w:w="3068"/>
      </w:tblGrid>
      <w:tr w:rsidTr="006D0EDA">
        <w:tblPrEx>
          <w:tblW w:w="0" w:type="auto"/>
          <w:tblLook w:val="04A0"/>
        </w:tblPrEx>
        <w:tc>
          <w:tcPr>
            <w:tcW w:w="5948" w:type="dxa"/>
          </w:tcPr>
          <w:p w:rsidR="006D0EDA" w:rsidRPr="00447225" w:rsidP="006D0EDA">
            <w:pPr>
              <w:rPr>
                <w:rFonts w:cs="Arial"/>
                <w:b/>
              </w:rPr>
            </w:pPr>
          </w:p>
        </w:tc>
        <w:tc>
          <w:tcPr>
            <w:tcW w:w="3068" w:type="dxa"/>
          </w:tcPr>
          <w:p w:rsidR="006D0EDA" w:rsidRPr="00447225" w:rsidP="006D0EDA">
            <w:pPr>
              <w:jc w:val="center"/>
              <w:rPr>
                <w:rFonts w:cs="Arial"/>
              </w:rPr>
            </w:pPr>
            <w:r w:rsidRPr="00447225">
              <w:rPr>
                <w:rFonts w:cs="Arial"/>
              </w:rPr>
              <w:t>Potential Full - Year Impact (£m)</w:t>
            </w:r>
          </w:p>
        </w:tc>
      </w:tr>
      <w:tr w:rsidTr="006D0EDA">
        <w:tblPrEx>
          <w:tblW w:w="0" w:type="auto"/>
          <w:tblLook w:val="04A0"/>
        </w:tblPrEx>
        <w:tc>
          <w:tcPr>
            <w:tcW w:w="5948" w:type="dxa"/>
          </w:tcPr>
          <w:p w:rsidR="006D0EDA" w:rsidRPr="00447225" w:rsidP="006D0EDA">
            <w:pPr>
              <w:rPr>
                <w:rFonts w:cs="Arial"/>
              </w:rPr>
            </w:pPr>
            <w:r w:rsidRPr="00447225">
              <w:rPr>
                <w:rFonts w:cs="Arial"/>
              </w:rPr>
              <w:t>Funding - Council Tax (1%)</w:t>
            </w:r>
          </w:p>
        </w:tc>
        <w:tc>
          <w:tcPr>
            <w:tcW w:w="3068" w:type="dxa"/>
          </w:tcPr>
          <w:p w:rsidR="006D0EDA" w:rsidRPr="00447225" w:rsidP="006D0EDA">
            <w:pPr>
              <w:jc w:val="right"/>
              <w:rPr>
                <w:rFonts w:cs="Arial"/>
              </w:rPr>
            </w:pPr>
            <w:r w:rsidRPr="00447225">
              <w:rPr>
                <w:rFonts w:cs="Arial"/>
              </w:rPr>
              <w:t xml:space="preserve"> +/- 5.299</w:t>
            </w:r>
          </w:p>
        </w:tc>
      </w:tr>
      <w:tr w:rsidTr="006D0EDA">
        <w:tblPrEx>
          <w:tblW w:w="0" w:type="auto"/>
          <w:tblLook w:val="04A0"/>
        </w:tblPrEx>
        <w:tc>
          <w:tcPr>
            <w:tcW w:w="5948" w:type="dxa"/>
          </w:tcPr>
          <w:p w:rsidR="006D0EDA" w:rsidRPr="00447225" w:rsidP="006D0EDA">
            <w:pPr>
              <w:rPr>
                <w:rFonts w:cs="Arial"/>
              </w:rPr>
            </w:pPr>
            <w:r w:rsidRPr="00447225">
              <w:rPr>
                <w:rFonts w:cs="Arial"/>
              </w:rPr>
              <w:t>Pay (1%)</w:t>
            </w:r>
          </w:p>
        </w:tc>
        <w:tc>
          <w:tcPr>
            <w:tcW w:w="3068" w:type="dxa"/>
          </w:tcPr>
          <w:p w:rsidR="006D0EDA" w:rsidRPr="00447225" w:rsidP="006D0EDA">
            <w:pPr>
              <w:jc w:val="right"/>
              <w:rPr>
                <w:rFonts w:cs="Arial"/>
              </w:rPr>
            </w:pPr>
            <w:r>
              <w:rPr>
                <w:rFonts w:cs="Arial"/>
              </w:rPr>
              <w:t>+/- 2.408</w:t>
            </w:r>
          </w:p>
        </w:tc>
      </w:tr>
      <w:tr w:rsidTr="006D0EDA">
        <w:tblPrEx>
          <w:tblW w:w="0" w:type="auto"/>
          <w:tblLook w:val="04A0"/>
        </w:tblPrEx>
        <w:tc>
          <w:tcPr>
            <w:tcW w:w="5948" w:type="dxa"/>
          </w:tcPr>
          <w:p w:rsidR="006D0EDA" w:rsidRPr="00447225" w:rsidP="006D0EDA">
            <w:pPr>
              <w:rPr>
                <w:rFonts w:cs="Arial"/>
              </w:rPr>
            </w:pPr>
            <w:r w:rsidRPr="00447225">
              <w:rPr>
                <w:rFonts w:cs="Arial"/>
              </w:rPr>
              <w:t>Price Inflation (1%)</w:t>
            </w:r>
          </w:p>
        </w:tc>
        <w:tc>
          <w:tcPr>
            <w:tcW w:w="3068" w:type="dxa"/>
          </w:tcPr>
          <w:p w:rsidR="006D0EDA" w:rsidRPr="00447225" w:rsidP="006D0EDA">
            <w:pPr>
              <w:jc w:val="right"/>
              <w:rPr>
                <w:rFonts w:cs="Arial"/>
              </w:rPr>
            </w:pPr>
            <w:r>
              <w:rPr>
                <w:rFonts w:cs="Arial"/>
              </w:rPr>
              <w:t>+/- 6.214</w:t>
            </w:r>
          </w:p>
        </w:tc>
      </w:tr>
      <w:tr w:rsidTr="006D0EDA">
        <w:tblPrEx>
          <w:tblW w:w="0" w:type="auto"/>
          <w:tblLook w:val="04A0"/>
        </w:tblPrEx>
        <w:tc>
          <w:tcPr>
            <w:tcW w:w="5948" w:type="dxa"/>
          </w:tcPr>
          <w:p w:rsidR="006D0EDA" w:rsidRPr="00447225" w:rsidP="006D0EDA">
            <w:pPr>
              <w:rPr>
                <w:rFonts w:cs="Arial"/>
              </w:rPr>
            </w:pPr>
            <w:r w:rsidRPr="00447225">
              <w:rPr>
                <w:rFonts w:cs="Arial"/>
              </w:rPr>
              <w:t>Demand (1%)</w:t>
            </w:r>
          </w:p>
        </w:tc>
        <w:tc>
          <w:tcPr>
            <w:tcW w:w="3068" w:type="dxa"/>
          </w:tcPr>
          <w:p w:rsidR="006D0EDA" w:rsidRPr="00447225" w:rsidP="006D0EDA">
            <w:pPr>
              <w:jc w:val="right"/>
              <w:rPr>
                <w:rFonts w:cs="Arial"/>
              </w:rPr>
            </w:pPr>
            <w:r>
              <w:rPr>
                <w:rFonts w:cs="Arial"/>
              </w:rPr>
              <w:t>+/- 5.869</w:t>
            </w:r>
          </w:p>
        </w:tc>
      </w:tr>
    </w:tbl>
    <w:p w:rsidR="006D0EDA" w:rsidRPr="00E95F45" w:rsidP="006D0EDA">
      <w:pPr>
        <w:tabs>
          <w:tab w:val="left" w:pos="567"/>
          <w:tab w:val="left" w:pos="1134"/>
        </w:tabs>
        <w:spacing w:after="0"/>
        <w:rPr>
          <w:rFonts w:cs="Arial"/>
          <w:highlight w:val="yellow"/>
        </w:rPr>
      </w:pPr>
    </w:p>
    <w:p w:rsidR="006D0EDA" w:rsidRPr="00A84087" w:rsidP="006D0EDA">
      <w:pPr>
        <w:tabs>
          <w:tab w:val="left" w:pos="567"/>
          <w:tab w:val="left" w:pos="1134"/>
        </w:tabs>
        <w:spacing w:after="0"/>
        <w:ind w:left="142"/>
        <w:rPr>
          <w:rFonts w:cs="Arial"/>
        </w:rPr>
      </w:pPr>
      <w:r w:rsidRPr="00DA0753">
        <w:rPr>
          <w:rFonts w:cs="Arial"/>
        </w:rPr>
        <w:t>This stress testing gives confidence that the council can continue to live within its means for the next two years in adverse circumstances. This does not however diminish or negate the need to make further savings but does demonstrate that the council continues to have sufficient resilience to deliver them in a measured and structured way.</w:t>
      </w:r>
    </w:p>
    <w:sectPr w:rsidSect="006D0EDA">
      <w:pgSz w:w="11906" w:h="16838"/>
      <w:pgMar w:top="1276"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0829511"/>
      <w:docPartObj>
        <w:docPartGallery w:val="Page Numbers (Bottom of Page)"/>
        <w:docPartUnique/>
      </w:docPartObj>
    </w:sdtPr>
    <w:sdtEndPr>
      <w:rPr>
        <w:noProof/>
      </w:rPr>
    </w:sdtEndPr>
    <w:sdtContent>
      <w:p w:rsidR="005662D1" w:rsidP="006D0EDA">
        <w:pPr>
          <w:pStyle w:val="Footer"/>
          <w:jc w:val="right"/>
        </w:pPr>
        <w:r>
          <w:fldChar w:fldCharType="begin"/>
        </w:r>
        <w:r>
          <w:instrText xml:space="preserve"> PAGE   \* MERGEFORMAT </w:instrText>
        </w:r>
        <w:r>
          <w:fldChar w:fldCharType="separate"/>
        </w:r>
        <w:r w:rsidR="00EF5EA7">
          <w:rPr>
            <w:noProof/>
          </w:rPr>
          <w:t>14</w:t>
        </w:r>
        <w:r>
          <w:rPr>
            <w:noProof/>
          </w:rPr>
          <w:fldChar w:fldCharType="end"/>
        </w:r>
      </w:p>
    </w:sdtContent>
  </w:sdt>
  <w:p w:rsidR="005662D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2D1">
    <w:pPr>
      <w:pStyle w:val="Header"/>
    </w:pPr>
    <w:sdt>
      <w:sdtPr>
        <w:id w:val="-20630899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p w:rsidR="00566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62D1" w:rsidP="006D0EDA">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2" name="Picture 2"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nsid w:val="06BB5AB2"/>
    <w:multiLevelType w:val="hybridMultilevel"/>
    <w:tmpl w:val="432A1498"/>
    <w:lvl w:ilvl="0">
      <w:start w:val="1"/>
      <w:numFmt w:val="bullet"/>
      <w:lvlText w:val="o"/>
      <w:lvlJc w:val="left"/>
      <w:pPr>
        <w:ind w:left="1222" w:hanging="360"/>
      </w:pPr>
      <w:rPr>
        <w:rFonts w:ascii="Courier New" w:hAnsi="Courier New" w:cs="Courier New" w:hint="default"/>
      </w:rPr>
    </w:lvl>
    <w:lvl w:ilvl="1" w:tentative="1">
      <w:start w:val="1"/>
      <w:numFmt w:val="bullet"/>
      <w:lvlText w:val="o"/>
      <w:lvlJc w:val="left"/>
      <w:pPr>
        <w:ind w:left="1942" w:hanging="360"/>
      </w:pPr>
      <w:rPr>
        <w:rFonts w:ascii="Courier New" w:hAnsi="Courier New" w:cs="Courier New" w:hint="default"/>
      </w:rPr>
    </w:lvl>
    <w:lvl w:ilvl="2" w:tentative="1">
      <w:start w:val="1"/>
      <w:numFmt w:val="bullet"/>
      <w:lvlText w:val=""/>
      <w:lvlJc w:val="left"/>
      <w:pPr>
        <w:ind w:left="2662" w:hanging="360"/>
      </w:pPr>
      <w:rPr>
        <w:rFonts w:ascii="Wingdings" w:hAnsi="Wingdings" w:hint="default"/>
      </w:rPr>
    </w:lvl>
    <w:lvl w:ilvl="3" w:tentative="1">
      <w:start w:val="1"/>
      <w:numFmt w:val="bullet"/>
      <w:lvlText w:val=""/>
      <w:lvlJc w:val="left"/>
      <w:pPr>
        <w:ind w:left="3382" w:hanging="360"/>
      </w:pPr>
      <w:rPr>
        <w:rFonts w:ascii="Symbol" w:hAnsi="Symbol" w:hint="default"/>
      </w:rPr>
    </w:lvl>
    <w:lvl w:ilvl="4" w:tentative="1">
      <w:start w:val="1"/>
      <w:numFmt w:val="bullet"/>
      <w:lvlText w:val="o"/>
      <w:lvlJc w:val="left"/>
      <w:pPr>
        <w:ind w:left="4102" w:hanging="360"/>
      </w:pPr>
      <w:rPr>
        <w:rFonts w:ascii="Courier New" w:hAnsi="Courier New" w:cs="Courier New" w:hint="default"/>
      </w:rPr>
    </w:lvl>
    <w:lvl w:ilvl="5" w:tentative="1">
      <w:start w:val="1"/>
      <w:numFmt w:val="bullet"/>
      <w:lvlText w:val=""/>
      <w:lvlJc w:val="left"/>
      <w:pPr>
        <w:ind w:left="4822" w:hanging="360"/>
      </w:pPr>
      <w:rPr>
        <w:rFonts w:ascii="Wingdings" w:hAnsi="Wingdings" w:hint="default"/>
      </w:rPr>
    </w:lvl>
    <w:lvl w:ilvl="6" w:tentative="1">
      <w:start w:val="1"/>
      <w:numFmt w:val="bullet"/>
      <w:lvlText w:val=""/>
      <w:lvlJc w:val="left"/>
      <w:pPr>
        <w:ind w:left="5542" w:hanging="360"/>
      </w:pPr>
      <w:rPr>
        <w:rFonts w:ascii="Symbol" w:hAnsi="Symbol" w:hint="default"/>
      </w:rPr>
    </w:lvl>
    <w:lvl w:ilvl="7" w:tentative="1">
      <w:start w:val="1"/>
      <w:numFmt w:val="bullet"/>
      <w:lvlText w:val="o"/>
      <w:lvlJc w:val="left"/>
      <w:pPr>
        <w:ind w:left="6262" w:hanging="360"/>
      </w:pPr>
      <w:rPr>
        <w:rFonts w:ascii="Courier New" w:hAnsi="Courier New" w:cs="Courier New" w:hint="default"/>
      </w:rPr>
    </w:lvl>
    <w:lvl w:ilvl="8" w:tentative="1">
      <w:start w:val="1"/>
      <w:numFmt w:val="bullet"/>
      <w:lvlText w:val=""/>
      <w:lvlJc w:val="left"/>
      <w:pPr>
        <w:ind w:left="6982" w:hanging="360"/>
      </w:pPr>
      <w:rPr>
        <w:rFonts w:ascii="Wingdings" w:hAnsi="Wingdings" w:hint="default"/>
      </w:rPr>
    </w:lvl>
  </w:abstractNum>
  <w:abstractNum w:abstractNumId="21">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7AF4DEE"/>
    <w:multiLevelType w:val="hybridMultilevel"/>
    <w:tmpl w:val="D54672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0117501"/>
    <w:multiLevelType w:val="hybridMultilevel"/>
    <w:tmpl w:val="EF2869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095304B"/>
    <w:multiLevelType w:val="hybridMultilevel"/>
    <w:tmpl w:val="F63C004C"/>
    <w:lvl w:ilvl="0">
      <w:start w:val="1"/>
      <w:numFmt w:val="bullet"/>
      <w:lvlText w:val="o"/>
      <w:lvlJc w:val="left"/>
      <w:pPr>
        <w:ind w:left="501"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27">
    <w:nsid w:val="338E1B06"/>
    <w:multiLevelType w:val="hybridMultilevel"/>
    <w:tmpl w:val="C8C6DC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7573839"/>
    <w:multiLevelType w:val="hybridMultilevel"/>
    <w:tmpl w:val="5118811A"/>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9">
    <w:nsid w:val="398D0E63"/>
    <w:multiLevelType w:val="hybridMultilevel"/>
    <w:tmpl w:val="504838D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3CD21179"/>
    <w:multiLevelType w:val="hybridMultilevel"/>
    <w:tmpl w:val="FC2CECA6"/>
    <w:lvl w:ilvl="0">
      <w:start w:val="1"/>
      <w:numFmt w:val="bullet"/>
      <w:lvlText w:val=""/>
      <w:lvlJc w:val="left"/>
      <w:pPr>
        <w:ind w:left="720"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489A01B5"/>
    <w:multiLevelType w:val="hybridMultilevel"/>
    <w:tmpl w:val="4008D5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E097B18"/>
    <w:multiLevelType w:val="hybridMultilevel"/>
    <w:tmpl w:val="4A8A06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089630A"/>
    <w:multiLevelType w:val="hybridMultilevel"/>
    <w:tmpl w:val="325691BA"/>
    <w:lvl w:ilvl="0">
      <w:start w:val="1"/>
      <w:numFmt w:val="bullet"/>
      <w:lvlText w:val=""/>
      <w:lvlJc w:val="left"/>
      <w:pPr>
        <w:ind w:left="502" w:hanging="360"/>
      </w:pPr>
      <w:rPr>
        <w:rFonts w:ascii="Symbol" w:hAnsi="Symbol"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35">
    <w:nsid w:val="53DF5491"/>
    <w:multiLevelType w:val="hybridMultilevel"/>
    <w:tmpl w:val="48D2F91C"/>
    <w:lvl w:ilvl="0">
      <w:start w:val="1"/>
      <w:numFmt w:val="bullet"/>
      <w:lvlText w:val=""/>
      <w:lvlJc w:val="left"/>
      <w:pPr>
        <w:ind w:left="502" w:hanging="360"/>
      </w:pPr>
      <w:rPr>
        <w:rFonts w:ascii="Symbol" w:hAnsi="Symbol"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36">
    <w:nsid w:val="564E3D0E"/>
    <w:multiLevelType w:val="hybridMultilevel"/>
    <w:tmpl w:val="EE5608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9724625"/>
    <w:multiLevelType w:val="hybridMultilevel"/>
    <w:tmpl w:val="5DD2CC70"/>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8">
    <w:nsid w:val="63C374F1"/>
    <w:multiLevelType w:val="hybridMultilevel"/>
    <w:tmpl w:val="A782BDFC"/>
    <w:lvl w:ilvl="0">
      <w:start w:val="1"/>
      <w:numFmt w:val="bullet"/>
      <w:lvlText w:val=""/>
      <w:lvlJc w:val="left"/>
      <w:pPr>
        <w:ind w:left="502" w:hanging="360"/>
      </w:pPr>
      <w:rPr>
        <w:rFonts w:ascii="Symbol" w:hAnsi="Symbol" w:hint="default"/>
      </w:rPr>
    </w:lvl>
    <w:lvl w:ilvl="1">
      <w:start w:val="0"/>
      <w:numFmt w:val="bullet"/>
      <w:lvlText w:val="•"/>
      <w:lvlJc w:val="left"/>
      <w:pPr>
        <w:ind w:left="1440" w:hanging="360"/>
      </w:pPr>
      <w:rPr>
        <w:rFonts w:ascii="Arial" w:eastAsia="Calibr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BFC7B04"/>
    <w:multiLevelType w:val="hybridMultilevel"/>
    <w:tmpl w:val="C9F452C8"/>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744A0F0E"/>
    <w:multiLevelType w:val="hybridMultilevel"/>
    <w:tmpl w:val="845C436E"/>
    <w:lvl w:ilvl="0">
      <w:start w:val="1"/>
      <w:numFmt w:val="bullet"/>
      <w:lvlText w:val=""/>
      <w:lvlJc w:val="left"/>
      <w:pPr>
        <w:ind w:left="927" w:hanging="360"/>
      </w:pPr>
      <w:rPr>
        <w:rFonts w:ascii="Symbol" w:hAnsi="Symbo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num w:numId="1">
    <w:abstractNumId w:val="26"/>
  </w:num>
  <w:num w:numId="2">
    <w:abstractNumId w:val="31"/>
  </w:num>
  <w:num w:numId="3">
    <w:abstractNumId w:val="41"/>
  </w:num>
  <w:num w:numId="4">
    <w:abstractNumId w:val="39"/>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0"/>
  </w:num>
  <w:num w:numId="26">
    <w:abstractNumId w:val="38"/>
  </w:num>
  <w:num w:numId="27">
    <w:abstractNumId w:val="27"/>
  </w:num>
  <w:num w:numId="28">
    <w:abstractNumId w:val="33"/>
  </w:num>
  <w:num w:numId="29">
    <w:abstractNumId w:val="30"/>
  </w:num>
  <w:num w:numId="30">
    <w:abstractNumId w:val="34"/>
  </w:num>
  <w:num w:numId="31">
    <w:abstractNumId w:val="20"/>
  </w:num>
  <w:num w:numId="32">
    <w:abstractNumId w:val="36"/>
  </w:num>
  <w:num w:numId="33">
    <w:abstractNumId w:val="37"/>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29"/>
  </w:num>
  <w:num w:numId="41">
    <w:abstractNumId w:val="23"/>
  </w:num>
  <w:num w:numId="42">
    <w:abstractNumId w:val="35"/>
  </w:num>
  <w:num w:numId="43">
    <w:abstractNumId w:val="25"/>
  </w:num>
  <w:num w:numId="44">
    <w:abstractNumId w:val="42"/>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2"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hAnsi="Times New Roman" w:eastAsiaTheme="minorHAnsi"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E8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ad1">
    <w:name w:val="lead1"/>
    <w:basedOn w:val="DefaultParagraphFont"/>
    <w:rsid w:val="002D0ADC"/>
    <w:rPr>
      <w:b w:val="0"/>
      <w:bCs w:val="0"/>
      <w:sz w:val="27"/>
      <w:szCs w:val="27"/>
    </w:rPr>
  </w:style>
  <w:style w:type="numbering" w:customStyle="1" w:styleId="NoList1">
    <w:name w:val="No List1"/>
    <w:next w:val="NoList"/>
    <w:uiPriority w:val="99"/>
    <w:semiHidden/>
    <w:unhideWhenUsed/>
    <w:rsid w:val="00266183"/>
  </w:style>
  <w:style w:type="table" w:customStyle="1" w:styleId="TableGrid11">
    <w:name w:val="Table Grid11"/>
    <w:basedOn w:val="TableNormal"/>
    <w:next w:val="TableGrid"/>
    <w:uiPriority w:val="5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
    <w:name w:val="Table List 41"/>
    <w:basedOn w:val="TableNormal"/>
    <w:next w:val="TableList4"/>
    <w:rsid w:val="0026618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2">
    <w:name w:val="Table Grid12"/>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2661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26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image" Target="media/image2.png"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36F1-5639-415F-9C5A-C36D45B5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151</TotalTime>
  <Pages>16</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Alker, Craig</cp:lastModifiedBy>
  <cp:revision>12</cp:revision>
  <cp:lastPrinted>2020-08-19T15:25:00Z</cp:lastPrinted>
  <dcterms:created xsi:type="dcterms:W3CDTF">2020-10-22T08:13:00Z</dcterms:created>
  <dcterms:modified xsi:type="dcterms:W3CDTF">2020-10-27T09:12:00Z</dcterms:modified>
</cp:coreProperties>
</file>